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11A" w:rsidRPr="003A011A" w:rsidRDefault="003A011A" w:rsidP="003A011A">
      <w:pPr>
        <w:pageBreakBefore/>
        <w:shd w:val="clear" w:color="auto" w:fill="002060"/>
        <w:spacing w:after="200" w:line="276" w:lineRule="auto"/>
        <w:ind w:right="-285"/>
        <w:jc w:val="center"/>
        <w:outlineLvl w:val="0"/>
        <w:rPr>
          <w:rFonts w:ascii="Calibri" w:eastAsia="SimSun" w:hAnsi="Calibri"/>
          <w:b/>
          <w:color w:val="FFFFFF"/>
        </w:rPr>
      </w:pPr>
      <w:r w:rsidRPr="003A011A">
        <w:rPr>
          <w:rFonts w:ascii="Calibri" w:eastAsia="SimSun" w:hAnsi="Calibri"/>
          <w:b/>
          <w:color w:val="FFFFFF"/>
        </w:rPr>
        <w:t xml:space="preserve">     </w:t>
      </w:r>
      <w:bookmarkStart w:id="0" w:name="Target_2_1"/>
      <w:r w:rsidRPr="003A011A">
        <w:rPr>
          <w:rFonts w:ascii="Calibri" w:eastAsia="SimSun" w:hAnsi="Calibri"/>
          <w:b/>
          <w:color w:val="FFFFFF"/>
          <w:u w:val="single"/>
        </w:rPr>
        <w:t>Target 2.1</w:t>
      </w:r>
      <w:bookmarkEnd w:id="0"/>
      <w:r w:rsidRPr="003A011A">
        <w:rPr>
          <w:rFonts w:ascii="Calibri" w:eastAsia="SimSun" w:hAnsi="Calibri"/>
          <w:b/>
          <w:color w:val="FFFFFF"/>
        </w:rPr>
        <w:t xml:space="preserve">                                                                                                                                                    By 2030, end hunger and ensure access by all people, in particular the poor and people in vulnerable situations, including infants, to safe, nutritious and sufficient food all year round</w:t>
      </w:r>
    </w:p>
    <w:p w:rsidR="003A011A" w:rsidRPr="003A011A" w:rsidRDefault="003A011A" w:rsidP="003A011A">
      <w:pPr>
        <w:spacing w:after="200" w:line="276" w:lineRule="auto"/>
        <w:ind w:right="-285"/>
        <w:jc w:val="both"/>
        <w:rPr>
          <w:rFonts w:ascii="Calibri" w:eastAsia="SimSun" w:hAnsi="Calibri"/>
          <w:i/>
          <w:color w:val="auto"/>
          <w:sz w:val="22"/>
          <w:szCs w:val="22"/>
        </w:rPr>
      </w:pPr>
      <w:r w:rsidRPr="003A011A">
        <w:rPr>
          <w:rFonts w:ascii="Calibri" w:eastAsia="SimSun" w:hAnsi="Calibri"/>
          <w:i/>
          <w:color w:val="auto"/>
          <w:sz w:val="22"/>
          <w:szCs w:val="22"/>
        </w:rPr>
        <w:t>The prevalence of undernourishment (listed here as indicator 2.1.2) is an established indicator used to monitor progress against the ‘hunger’ target of the Millennium Development Goals.  It is maintained and published regularly by the FAO with reference to the average of the last three-year period, and it will allow monitoring progress in continuity with the past, a reason why it is supported as a core indicator for this target.</w:t>
      </w:r>
    </w:p>
    <w:p w:rsidR="003A011A" w:rsidRPr="003A011A" w:rsidRDefault="003A011A" w:rsidP="003A011A">
      <w:pPr>
        <w:spacing w:after="200" w:line="276" w:lineRule="auto"/>
        <w:ind w:right="-285"/>
        <w:jc w:val="both"/>
        <w:rPr>
          <w:rFonts w:ascii="Calibri" w:eastAsia="SimSun" w:hAnsi="Calibri"/>
          <w:i/>
          <w:color w:val="auto"/>
          <w:sz w:val="22"/>
          <w:szCs w:val="22"/>
        </w:rPr>
      </w:pPr>
      <w:r w:rsidRPr="003A011A">
        <w:rPr>
          <w:rFonts w:ascii="Calibri" w:eastAsia="SimSun" w:hAnsi="Calibri"/>
          <w:i/>
          <w:color w:val="auto"/>
          <w:sz w:val="22"/>
          <w:szCs w:val="22"/>
        </w:rPr>
        <w:t>It is believed, however, that there is a clear need to develop and use indicators capable of providing more timely assessments, which can be meaningfully disaggregated at subnational level by population groups and/or by geographic areas and that can be informed by easy to collect data.</w:t>
      </w:r>
    </w:p>
    <w:p w:rsidR="003A011A" w:rsidRPr="003A011A" w:rsidRDefault="003A011A" w:rsidP="003A011A">
      <w:pPr>
        <w:spacing w:after="200" w:line="276" w:lineRule="auto"/>
        <w:ind w:right="-285"/>
        <w:jc w:val="both"/>
        <w:rPr>
          <w:rFonts w:ascii="Calibri" w:eastAsia="SimSun" w:hAnsi="Calibri"/>
          <w:i/>
          <w:color w:val="auto"/>
          <w:sz w:val="22"/>
          <w:szCs w:val="22"/>
        </w:rPr>
      </w:pPr>
      <w:r w:rsidRPr="003A011A">
        <w:rPr>
          <w:rFonts w:ascii="Calibri" w:eastAsia="SimSun" w:hAnsi="Calibri"/>
          <w:i/>
          <w:color w:val="auto"/>
          <w:sz w:val="22"/>
          <w:szCs w:val="22"/>
        </w:rPr>
        <w:t xml:space="preserve">For these reasons we also propose an indicator that shows high promise for being adopted as core indicator for Target 2.1, once established on a global scale: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“Percentage of individuals experiencing moderate or severe levels of food insecurity, as measured through the Food Insecurity Experience Scale (FIES)”</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i/>
          <w:color w:val="00000A"/>
          <w:sz w:val="22"/>
        </w:rPr>
        <w:t xml:space="preserve">FAO is highly concerned that UNSD’s preliminary list of May determined only one priority indicator for this target, down from two in its February list. Retaining the PoU while excluding the FIES undermines the effort to provide a more meaningful, comprehensive and timely metric for food access in the SDG era, essentially sticking to the already established MDG indicator. Furthermore, this choice undermines the universality ambition of the SDGs, by selecting an indicator that is primarily designed for developing countries (the PoU) rather than an indicator that is applicable to both developed and developing countries (the FIES). </w:t>
      </w:r>
    </w:p>
    <w:p w:rsidR="003A011A" w:rsidRPr="003A011A" w:rsidRDefault="003A011A" w:rsidP="003A011A">
      <w:pPr>
        <w:spacing w:after="200" w:line="276" w:lineRule="auto"/>
        <w:ind w:right="-285"/>
        <w:jc w:val="both"/>
        <w:rPr>
          <w:rFonts w:ascii="Calibri" w:eastAsia="SimSun" w:hAnsi="Calibri"/>
          <w:color w:val="auto"/>
          <w:sz w:val="22"/>
          <w:szCs w:val="22"/>
        </w:rPr>
      </w:pPr>
    </w:p>
    <w:p w:rsidR="003A011A" w:rsidRPr="003A011A" w:rsidRDefault="003A011A" w:rsidP="003A011A">
      <w:pPr>
        <w:ind w:right="-285"/>
        <w:rPr>
          <w:rFonts w:ascii="Calibri" w:eastAsia="SimSun" w:hAnsi="Calibri"/>
          <w:i/>
          <w:color w:val="auto"/>
          <w:sz w:val="22"/>
          <w:szCs w:val="22"/>
        </w:rPr>
      </w:pPr>
      <w:bookmarkStart w:id="1" w:name="Indicator2_1_1"/>
      <w:bookmarkStart w:id="2" w:name="_Toc410657833"/>
      <w:bookmarkStart w:id="3" w:name="_Toc410890056"/>
      <w:bookmarkStart w:id="4" w:name="_Toc410912468"/>
      <w:r w:rsidRPr="003A011A">
        <w:rPr>
          <w:rFonts w:ascii="Calibri" w:eastAsia="SimSun" w:hAnsi="Calibri"/>
          <w:b/>
          <w:color w:val="0000FF"/>
          <w:u w:val="single"/>
        </w:rPr>
        <w:br w:type="page"/>
      </w:r>
    </w:p>
    <w:p w:rsidR="003A011A" w:rsidRPr="003A011A" w:rsidRDefault="003A011A" w:rsidP="003A011A">
      <w:pPr>
        <w:pageBreakBefore/>
        <w:shd w:val="clear" w:color="auto" w:fill="99FF99"/>
        <w:spacing w:after="200" w:line="276" w:lineRule="auto"/>
        <w:ind w:right="-285"/>
        <w:jc w:val="center"/>
        <w:outlineLvl w:val="1"/>
        <w:rPr>
          <w:rFonts w:ascii="Calibri" w:eastAsia="SimSun" w:hAnsi="Calibri"/>
          <w:b/>
          <w:color w:val="auto"/>
        </w:rPr>
      </w:pPr>
      <w:r w:rsidRPr="003A011A">
        <w:rPr>
          <w:rFonts w:ascii="Calibri" w:eastAsia="SimSun" w:hAnsi="Calibri"/>
          <w:b/>
          <w:color w:val="auto"/>
        </w:rPr>
        <w:lastRenderedPageBreak/>
        <w:t xml:space="preserve">Indicator 2.1.1 </w:t>
      </w:r>
      <w:r w:rsidRPr="003A011A">
        <w:rPr>
          <w:rFonts w:ascii="Calibri" w:eastAsia="SimSun" w:hAnsi="Calibri"/>
          <w:b/>
          <w:color w:val="auto"/>
        </w:rPr>
        <w:br/>
      </w:r>
      <w:bookmarkEnd w:id="1"/>
      <w:r w:rsidRPr="003A011A">
        <w:rPr>
          <w:rFonts w:ascii="Calibri" w:eastAsia="SimSun" w:hAnsi="Calibri"/>
          <w:color w:val="auto"/>
        </w:rPr>
        <w:t>“</w:t>
      </w:r>
      <w:r w:rsidRPr="003A011A">
        <w:rPr>
          <w:rFonts w:ascii="Calibri" w:eastAsia="SimSun" w:hAnsi="Calibri"/>
          <w:color w:val="auto"/>
          <w:shd w:val="clear" w:color="auto" w:fill="99FF99"/>
        </w:rPr>
        <w:t xml:space="preserve">Percentage of individuals in the population with moderate or severe food insecurity, </w:t>
      </w:r>
      <w:r w:rsidRPr="003A011A">
        <w:rPr>
          <w:rFonts w:ascii="Calibri" w:eastAsia="SimSun" w:hAnsi="Calibri"/>
          <w:color w:val="auto"/>
          <w:shd w:val="clear" w:color="auto" w:fill="99FF99"/>
        </w:rPr>
        <w:br/>
        <w:t>as classified based on the</w:t>
      </w:r>
      <w:r w:rsidRPr="003A011A">
        <w:rPr>
          <w:rFonts w:ascii="Calibri" w:eastAsia="SimSun" w:hAnsi="Calibri"/>
          <w:color w:val="auto"/>
        </w:rPr>
        <w:t xml:space="preserve"> Food Insecurity Experience Scale (FIES)”</w:t>
      </w:r>
      <w:bookmarkEnd w:id="2"/>
      <w:bookmarkEnd w:id="3"/>
      <w:bookmarkEnd w:id="4"/>
    </w:p>
    <w:p w:rsidR="003A011A" w:rsidRPr="003A011A" w:rsidRDefault="003A011A" w:rsidP="003A011A">
      <w:pPr>
        <w:keepNext/>
        <w:spacing w:after="200" w:line="276" w:lineRule="auto"/>
        <w:ind w:left="720" w:right="-285"/>
        <w:jc w:val="both"/>
        <w:outlineLvl w:val="2"/>
        <w:rPr>
          <w:rFonts w:ascii="Calibri" w:eastAsia="SimSun" w:hAnsi="Calibri"/>
          <w:b/>
          <w:color w:val="auto"/>
          <w:sz w:val="22"/>
          <w:szCs w:val="22"/>
        </w:rPr>
      </w:pPr>
    </w:p>
    <w:p w:rsidR="003A011A" w:rsidRPr="003A011A" w:rsidRDefault="003A011A" w:rsidP="003A011A">
      <w:pPr>
        <w:keepNext/>
        <w:numPr>
          <w:ilvl w:val="0"/>
          <w:numId w:val="3"/>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Precise definition of the indicator</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These are in reality two related indicators, representing the percentage of individuals in the national adult population (15 or more years of age) that have experienced </w:t>
      </w:r>
      <w:r w:rsidRPr="003A011A">
        <w:rPr>
          <w:rFonts w:ascii="Calibri" w:eastAsia="SimSun" w:hAnsi="Calibri"/>
          <w:b/>
          <w:i/>
          <w:color w:val="auto"/>
          <w:sz w:val="22"/>
          <w:szCs w:val="22"/>
        </w:rPr>
        <w:t xml:space="preserve">moderate or severe levels </w:t>
      </w:r>
      <w:r w:rsidRPr="003A011A">
        <w:rPr>
          <w:rFonts w:ascii="Calibri" w:eastAsia="SimSun" w:hAnsi="Calibri"/>
          <w:color w:val="auto"/>
          <w:sz w:val="22"/>
          <w:szCs w:val="22"/>
        </w:rPr>
        <w:t xml:space="preserve">and </w:t>
      </w:r>
      <w:r w:rsidRPr="003A011A">
        <w:rPr>
          <w:rFonts w:ascii="Calibri" w:eastAsia="SimSun" w:hAnsi="Calibri"/>
          <w:b/>
          <w:i/>
          <w:color w:val="auto"/>
          <w:sz w:val="22"/>
          <w:szCs w:val="22"/>
        </w:rPr>
        <w:t>severe levels of food insecurity</w:t>
      </w:r>
      <w:r w:rsidRPr="003A011A">
        <w:rPr>
          <w:rFonts w:ascii="Calibri" w:eastAsia="SimSun" w:hAnsi="Calibri"/>
          <w:color w:val="auto"/>
          <w:sz w:val="22"/>
          <w:szCs w:val="22"/>
        </w:rPr>
        <w:t xml:space="preserve"> respectively, during the previous year.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Severity of food insecurity is defined as the extent to which people have difficulties in accessing food of adequate quality and/or quantity due to lack of money or other resources. Difficulties include also psychological concerns associated with the struggle in accessing food. </w:t>
      </w:r>
    </w:p>
    <w:p w:rsidR="003A011A" w:rsidRPr="003A011A" w:rsidRDefault="003A011A" w:rsidP="003A011A">
      <w:pPr>
        <w:keepNext/>
        <w:numPr>
          <w:ilvl w:val="0"/>
          <w:numId w:val="3"/>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How is the indicator linked to the specific TARGET as worded in the OWG Report?</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This indicator is a direct implementation of the concept of “access to food” that informs the target.  Experience-based food insecurity scales are the only available tools that </w:t>
      </w:r>
      <w:r w:rsidRPr="003A011A">
        <w:rPr>
          <w:rFonts w:ascii="Calibri" w:eastAsia="SimSun" w:hAnsi="Calibri"/>
          <w:color w:val="auto"/>
          <w:sz w:val="22"/>
          <w:szCs w:val="22"/>
          <w:u w:val="single"/>
        </w:rPr>
        <w:t>address the effective ability to access food at the individual or household level, directly</w:t>
      </w:r>
      <w:r w:rsidRPr="003A011A">
        <w:rPr>
          <w:rFonts w:ascii="Calibri" w:eastAsia="SimSun" w:hAnsi="Calibri"/>
          <w:color w:val="auto"/>
          <w:sz w:val="22"/>
          <w:szCs w:val="22"/>
        </w:rPr>
        <w:t xml:space="preserve">.  Reliable measure at individual level, as afforded by these indicators, is crucial to respond to the need to ensure monitoring access “by </w:t>
      </w:r>
      <w:r w:rsidRPr="003A011A">
        <w:rPr>
          <w:rFonts w:ascii="Calibri" w:eastAsia="SimSun" w:hAnsi="Calibri"/>
          <w:color w:val="auto"/>
          <w:sz w:val="22"/>
          <w:szCs w:val="22"/>
          <w:u w:val="single"/>
        </w:rPr>
        <w:t>all</w:t>
      </w:r>
      <w:r w:rsidRPr="003A011A">
        <w:rPr>
          <w:rFonts w:ascii="Calibri" w:eastAsia="SimSun" w:hAnsi="Calibri"/>
          <w:color w:val="auto"/>
          <w:sz w:val="22"/>
          <w:szCs w:val="22"/>
        </w:rPr>
        <w:t xml:space="preserve"> people” and that monitoring can be conducted “in particular for the poor in vulnerable situations”.</w:t>
      </w:r>
    </w:p>
    <w:p w:rsidR="003A011A" w:rsidRPr="003A011A" w:rsidRDefault="003A011A" w:rsidP="003A011A">
      <w:pPr>
        <w:keepNext/>
        <w:numPr>
          <w:ilvl w:val="0"/>
          <w:numId w:val="3"/>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Does the indicator already exist and is it regularly reported?</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The indicators and the global reference standard necessary to ensure proper cross-country comparability of the measures are being developed and will be maintained by the FAO Statistics Division, “Voices of the Hungry” team.” Metadata are available at: </w:t>
      </w:r>
      <w:hyperlink r:id="rId8" w:history="1">
        <w:r w:rsidRPr="003A011A">
          <w:rPr>
            <w:rFonts w:ascii="Calibri" w:eastAsia="SimSun" w:hAnsi="Calibri"/>
            <w:color w:val="auto"/>
            <w:sz w:val="22"/>
            <w:szCs w:val="22"/>
            <w:u w:val="single"/>
          </w:rPr>
          <w:t>http://www.fao.org/economic/ess/ess-fs/voices/fiesscale/metadata/en/</w:t>
        </w:r>
      </w:hyperlink>
      <w:r w:rsidRPr="003A011A">
        <w:rPr>
          <w:rFonts w:ascii="Calibri" w:eastAsia="SimSun" w:hAnsi="Calibri"/>
          <w:color w:val="auto"/>
          <w:sz w:val="22"/>
          <w:szCs w:val="22"/>
        </w:rPr>
        <w:t xml:space="preserve">. </w:t>
      </w:r>
    </w:p>
    <w:p w:rsidR="003A011A" w:rsidRPr="003A011A" w:rsidRDefault="003A011A" w:rsidP="003A011A">
      <w:pPr>
        <w:keepNext/>
        <w:numPr>
          <w:ilvl w:val="0"/>
          <w:numId w:val="3"/>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Comment on the reliability, potential coverage, comparability across countries, and the possibility to compute the indicator at sub-national level.</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Reliability</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Reliability of an experience-based measure of food security could be compromised by issues related to (a) the choice and performance of the items used to form the scale and (b) limited sample sizes.</w:t>
      </w:r>
    </w:p>
    <w:p w:rsidR="003A011A" w:rsidRPr="003A011A" w:rsidRDefault="003A011A" w:rsidP="003A011A">
      <w:pPr>
        <w:numPr>
          <w:ilvl w:val="0"/>
          <w:numId w:val="2"/>
        </w:numPr>
        <w:suppressAutoHyphens/>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u w:val="single"/>
        </w:rPr>
        <w:t>Choice and performance of the FIES items.</w:t>
      </w:r>
      <w:r w:rsidRPr="003A011A">
        <w:rPr>
          <w:rFonts w:ascii="Calibri" w:eastAsia="SimSun" w:hAnsi="Calibri"/>
          <w:color w:val="auto"/>
          <w:sz w:val="22"/>
          <w:szCs w:val="22"/>
        </w:rPr>
        <w:t xml:space="preserve"> Key results from the analysis of the data collected by FAO in 2014 in 145 countries through the GWP confirm the reliability of the FIES based measure of the prevalence of food security at different levels of severity even after relatively minor efforts of adaptation of the questions to local languages. Items’ performance has been tested through the </w:t>
      </w:r>
      <w:r w:rsidRPr="003A011A">
        <w:rPr>
          <w:rFonts w:ascii="Calibri" w:eastAsia="SimSun" w:hAnsi="Calibri"/>
          <w:i/>
          <w:color w:val="auto"/>
          <w:sz w:val="22"/>
          <w:szCs w:val="22"/>
        </w:rPr>
        <w:t>infit</w:t>
      </w:r>
      <w:r w:rsidRPr="003A011A">
        <w:rPr>
          <w:rFonts w:ascii="Calibri" w:eastAsia="SimSun" w:hAnsi="Calibri"/>
          <w:color w:val="auto"/>
          <w:sz w:val="22"/>
          <w:szCs w:val="22"/>
        </w:rPr>
        <w:t xml:space="preserve"> statistics and only in one case only one of the items showed an </w:t>
      </w:r>
      <w:r w:rsidRPr="003A011A">
        <w:rPr>
          <w:rFonts w:ascii="Calibri" w:eastAsia="SimSun" w:hAnsi="Calibri"/>
          <w:i/>
          <w:color w:val="auto"/>
          <w:sz w:val="22"/>
          <w:szCs w:val="22"/>
        </w:rPr>
        <w:t>infit</w:t>
      </w:r>
      <w:r w:rsidRPr="003A011A">
        <w:rPr>
          <w:rFonts w:ascii="Calibri" w:eastAsia="SimSun" w:hAnsi="Calibri"/>
          <w:color w:val="auto"/>
          <w:sz w:val="22"/>
          <w:szCs w:val="22"/>
        </w:rPr>
        <w:t xml:space="preserve"> value outside the range 0.7-1.3 that is considered appropriate to ensure sufficient reliability.  This confirms the appropriateness of the items chosen (a result of decades of experience with development and application of experience-based food security scales in North and Latin America and throughout the world.)</w:t>
      </w:r>
    </w:p>
    <w:p w:rsidR="003A011A" w:rsidRPr="003A011A" w:rsidRDefault="003A011A" w:rsidP="003A011A">
      <w:pPr>
        <w:numPr>
          <w:ilvl w:val="0"/>
          <w:numId w:val="2"/>
        </w:numPr>
        <w:suppressAutoHyphens/>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u w:val="single"/>
        </w:rPr>
        <w:lastRenderedPageBreak/>
        <w:t>Sample size:</w:t>
      </w:r>
      <w:r w:rsidRPr="003A011A">
        <w:rPr>
          <w:rFonts w:ascii="Calibri" w:eastAsia="SimSun" w:hAnsi="Calibri"/>
          <w:color w:val="auto"/>
          <w:sz w:val="22"/>
          <w:szCs w:val="22"/>
        </w:rPr>
        <w:t xml:space="preserve"> Samples of 1000 individuals, characteristic of the GWP,</w:t>
      </w:r>
      <w:r w:rsidRPr="003A011A">
        <w:rPr>
          <w:rFonts w:ascii="Calibri" w:eastAsia="SimSun" w:hAnsi="Calibri"/>
          <w:color w:val="auto"/>
          <w:sz w:val="22"/>
          <w:szCs w:val="22"/>
          <w:vertAlign w:val="superscript"/>
        </w:rPr>
        <w:t xml:space="preserve"> </w:t>
      </w:r>
      <w:r w:rsidRPr="003A011A">
        <w:rPr>
          <w:rFonts w:ascii="Calibri" w:eastAsia="SimSun" w:hAnsi="Calibri"/>
          <w:color w:val="auto"/>
          <w:sz w:val="22"/>
          <w:szCs w:val="22"/>
          <w:vertAlign w:val="superscript"/>
        </w:rPr>
        <w:footnoteReference w:id="1"/>
      </w:r>
      <w:r w:rsidRPr="003A011A">
        <w:rPr>
          <w:rFonts w:ascii="Calibri" w:eastAsia="SimSun" w:hAnsi="Calibri"/>
          <w:color w:val="auto"/>
          <w:sz w:val="22"/>
          <w:szCs w:val="22"/>
        </w:rPr>
        <w:t xml:space="preserve"> have proven sufficient to ensure margins of errors lower than 2% for prevalence of moderate or severe food insecurity, and lower than 1% for prevalence of severe food insecurity at national level.  Larger sample sizes might further reduce these margins of error.</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Coverage</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By leveraging on the GWP as a data collection vehicle, FAO can ensure global coverage (about 150 countries every year covering more than 95% of the world population) annually, for national level assessments.  </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Comparability across countries</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The Voices of the Hungry project has successfully developed and tested the methodology to scale individual measures to a single global reference standard and to make estimates of the prevalence of food insecurity comparable across countries.  The method is possible due to the reference to Item Response Theory for measurement and it inspired by existing practice in equating educational and psycho-attitudinal tests. </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Possibility to compute the indicator at sub-national level</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The indicators can be computed at any level of disaggregation. Reliability of the measure is of course conditioned by the available sample size and representativeness of the specific sample.  FAO suggests that, for meaningful disaggregation at subnational level, the data should be collected with surveys that are designed to be representative of the target population.</w:t>
      </w:r>
    </w:p>
    <w:p w:rsidR="003A011A" w:rsidRPr="003A011A" w:rsidRDefault="003A011A" w:rsidP="003A011A">
      <w:pPr>
        <w:keepNext/>
        <w:numPr>
          <w:ilvl w:val="0"/>
          <w:numId w:val="3"/>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 xml:space="preserve">   </w:t>
      </w:r>
      <w:r w:rsidRPr="003A011A">
        <w:rPr>
          <w:rFonts w:ascii="Calibri" w:eastAsia="SimSun" w:hAnsi="Calibri"/>
          <w:b/>
          <w:bCs/>
          <w:color w:val="auto"/>
          <w:sz w:val="22"/>
          <w:szCs w:val="22"/>
        </w:rPr>
        <w:t>Is there already a baseline value for 2015?</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While SDG target 2.1 calls for an eradication of hunger, meaningful targets that would reflect bringing food insecurity to minimal “physiological” levels and the eradication of hunger could be offset for moderate and severe food insecurity and for developed countries and some transition economies.</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Credible, yet ambitious targets for other countries could be defined based on an analysis of the 2014 benchmark that will be available in the first quarter of 2015.</w:t>
      </w:r>
    </w:p>
    <w:p w:rsidR="003A011A" w:rsidRPr="003A011A" w:rsidRDefault="003A011A" w:rsidP="003A011A">
      <w:pPr>
        <w:spacing w:after="200" w:line="276" w:lineRule="auto"/>
        <w:ind w:left="360" w:right="-285"/>
        <w:jc w:val="both"/>
        <w:rPr>
          <w:rFonts w:ascii="Calibri" w:eastAsia="SimSun" w:hAnsi="Calibri"/>
          <w:i/>
          <w:color w:val="auto"/>
          <w:sz w:val="22"/>
          <w:szCs w:val="22"/>
        </w:rPr>
      </w:pPr>
    </w:p>
    <w:bookmarkStart w:id="5" w:name="_Indicator_2.1.1_"/>
    <w:bookmarkStart w:id="6" w:name="_Toc410890055"/>
    <w:bookmarkStart w:id="7" w:name="_Toc410912467"/>
    <w:bookmarkEnd w:id="5"/>
    <w:p w:rsidR="003A011A" w:rsidRPr="003A011A" w:rsidRDefault="003A011A" w:rsidP="003A011A">
      <w:pPr>
        <w:pageBreakBefore/>
        <w:shd w:val="clear" w:color="auto" w:fill="99FF99"/>
        <w:spacing w:after="200" w:line="276" w:lineRule="auto"/>
        <w:ind w:right="-285"/>
        <w:jc w:val="center"/>
        <w:outlineLvl w:val="1"/>
        <w:rPr>
          <w:rFonts w:ascii="Calibri" w:eastAsia="SimSun" w:hAnsi="Calibri"/>
          <w:b/>
          <w:color w:val="auto"/>
        </w:rPr>
      </w:pPr>
      <w:r w:rsidRPr="003A011A">
        <w:rPr>
          <w:rFonts w:ascii="Calibri" w:eastAsia="SimSun" w:hAnsi="Calibri"/>
          <w:b/>
          <w:color w:val="auto"/>
          <w:shd w:val="clear" w:color="auto" w:fill="F2F2F2"/>
        </w:rPr>
        <w:lastRenderedPageBreak/>
        <w:fldChar w:fldCharType="begin"/>
      </w:r>
      <w:r w:rsidRPr="003A011A">
        <w:rPr>
          <w:rFonts w:ascii="Calibri" w:eastAsia="SimSun" w:hAnsi="Calibri"/>
          <w:color w:val="auto"/>
          <w:shd w:val="clear" w:color="auto" w:fill="F2F2F2"/>
        </w:rPr>
        <w:instrText xml:space="preserve"> HYPERLINK  \l "List_of_indicators" </w:instrText>
      </w:r>
      <w:r w:rsidRPr="003A011A">
        <w:rPr>
          <w:rFonts w:ascii="Calibri" w:eastAsia="SimSun" w:hAnsi="Calibri"/>
          <w:b/>
          <w:color w:val="auto"/>
          <w:shd w:val="clear" w:color="auto" w:fill="F2F2F2"/>
        </w:rPr>
        <w:fldChar w:fldCharType="separate"/>
      </w:r>
      <w:bookmarkStart w:id="8" w:name="Indicator2_1_2"/>
      <w:r w:rsidRPr="003A011A">
        <w:rPr>
          <w:rFonts w:ascii="Calibri" w:eastAsia="SimSun" w:hAnsi="Calibri"/>
          <w:b/>
          <w:color w:val="auto"/>
        </w:rPr>
        <w:t>Indicator 2.1.2</w:t>
      </w:r>
      <w:bookmarkEnd w:id="8"/>
      <w:r w:rsidRPr="003A011A">
        <w:rPr>
          <w:rFonts w:ascii="Calibri" w:eastAsia="SimSun" w:hAnsi="Calibri"/>
          <w:b/>
          <w:color w:val="auto"/>
        </w:rPr>
        <w:t xml:space="preserve"> </w:t>
      </w:r>
      <w:r w:rsidRPr="003A011A">
        <w:rPr>
          <w:rFonts w:ascii="Calibri" w:eastAsia="SimSun" w:hAnsi="Calibri"/>
          <w:b/>
          <w:color w:val="auto"/>
          <w:shd w:val="clear" w:color="auto" w:fill="F2F2F2"/>
        </w:rPr>
        <w:fldChar w:fldCharType="end"/>
      </w:r>
      <w:r w:rsidRPr="003A011A">
        <w:rPr>
          <w:rFonts w:ascii="Calibri" w:eastAsia="SimSun" w:hAnsi="Calibri"/>
          <w:color w:val="auto"/>
          <w:shd w:val="clear" w:color="auto" w:fill="F2F2F2"/>
        </w:rPr>
        <w:br/>
      </w:r>
      <w:r w:rsidRPr="003A011A">
        <w:rPr>
          <w:rFonts w:ascii="Calibri" w:eastAsia="SimSun" w:hAnsi="Calibri"/>
          <w:color w:val="auto"/>
          <w:shd w:val="clear" w:color="auto" w:fill="99FF99"/>
        </w:rPr>
        <w:t>“Prevalence of Undernourishment”</w:t>
      </w:r>
      <w:bookmarkEnd w:id="6"/>
      <w:r w:rsidRPr="003A011A">
        <w:rPr>
          <w:rFonts w:ascii="Calibri" w:eastAsia="SimSun" w:hAnsi="Calibri"/>
          <w:b/>
          <w:color w:val="auto"/>
        </w:rPr>
        <w:t xml:space="preserve"> </w:t>
      </w:r>
      <w:r w:rsidRPr="003A011A">
        <w:rPr>
          <w:rFonts w:ascii="Calibri" w:eastAsia="SimSun" w:hAnsi="Calibri"/>
          <w:color w:val="auto"/>
        </w:rPr>
        <w:t>(PoU)</w:t>
      </w:r>
      <w:bookmarkEnd w:id="7"/>
    </w:p>
    <w:p w:rsidR="003A011A" w:rsidRPr="003A011A" w:rsidRDefault="003A011A" w:rsidP="003A011A">
      <w:pPr>
        <w:keepNext/>
        <w:spacing w:before="240" w:after="200" w:line="264" w:lineRule="auto"/>
        <w:ind w:left="720" w:right="-285"/>
        <w:contextualSpacing/>
        <w:jc w:val="both"/>
        <w:outlineLvl w:val="2"/>
        <w:rPr>
          <w:rFonts w:ascii="Calibri" w:eastAsia="SimSun" w:hAnsi="Calibri"/>
          <w:b/>
          <w:color w:val="auto"/>
          <w:sz w:val="22"/>
          <w:szCs w:val="22"/>
        </w:rPr>
      </w:pPr>
    </w:p>
    <w:p w:rsidR="003A011A" w:rsidRPr="003A011A" w:rsidRDefault="003A011A" w:rsidP="003A011A">
      <w:pPr>
        <w:keepNext/>
        <w:numPr>
          <w:ilvl w:val="0"/>
          <w:numId w:val="9"/>
        </w:numPr>
        <w:suppressAutoHyphens/>
        <w:spacing w:before="240" w:after="200" w:line="264" w:lineRule="auto"/>
        <w:ind w:right="-285"/>
        <w:contextualSpacing/>
        <w:jc w:val="both"/>
        <w:outlineLvl w:val="2"/>
        <w:rPr>
          <w:rFonts w:ascii="Calibri" w:eastAsia="SimSun" w:hAnsi="Calibri"/>
          <w:b/>
          <w:color w:val="auto"/>
          <w:sz w:val="22"/>
          <w:szCs w:val="22"/>
        </w:rPr>
      </w:pPr>
      <w:r w:rsidRPr="003A011A">
        <w:rPr>
          <w:rFonts w:ascii="Calibri" w:eastAsia="SimSun" w:hAnsi="Calibri"/>
          <w:b/>
          <w:color w:val="auto"/>
          <w:sz w:val="22"/>
          <w:szCs w:val="22"/>
        </w:rPr>
        <w:t>Precise definition of the indicator</w:t>
      </w:r>
    </w:p>
    <w:p w:rsidR="003A011A" w:rsidRPr="003A011A" w:rsidRDefault="003A011A" w:rsidP="003A011A">
      <w:pPr>
        <w:spacing w:after="200" w:line="264"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The Prevalence of Undernourishment (PoU) is defined as the probability that a randomly selected individual from the reference population is found to consume less than his/her calorie requirement for an active and healthy life. It is written as: </w:t>
      </w:r>
      <m:oMath>
        <m:r>
          <w:rPr>
            <w:rFonts w:ascii="Cambria Math" w:eastAsia="SimSun" w:hAnsi="Calibri"/>
            <w:color w:val="auto"/>
            <w:sz w:val="22"/>
            <w:szCs w:val="22"/>
          </w:rPr>
          <m:t xml:space="preserve"> </m:t>
        </m:r>
        <m:r>
          <w:rPr>
            <w:rFonts w:ascii="Cambria Math" w:eastAsia="SimSun" w:hAnsi="Cambria Math"/>
            <w:color w:val="auto"/>
            <w:sz w:val="22"/>
            <w:szCs w:val="22"/>
          </w:rPr>
          <m:t>PoU</m:t>
        </m:r>
        <m:r>
          <w:rPr>
            <w:rFonts w:ascii="Cambria Math" w:eastAsia="SimSun" w:hAnsi="Calibri"/>
            <w:color w:val="auto"/>
            <w:sz w:val="22"/>
            <w:szCs w:val="22"/>
          </w:rPr>
          <m:t xml:space="preserve">= </m:t>
        </m:r>
        <m:nary>
          <m:naryPr>
            <m:limLoc m:val="subSup"/>
            <m:ctrlPr>
              <w:rPr>
                <w:rFonts w:ascii="Cambria Math" w:eastAsia="SimSun" w:hAnsi="Calibri"/>
                <w:i/>
                <w:color w:val="auto"/>
                <w:sz w:val="22"/>
                <w:szCs w:val="22"/>
              </w:rPr>
            </m:ctrlPr>
          </m:naryPr>
          <m:sub>
            <m:r>
              <w:rPr>
                <w:rFonts w:ascii="Cambria Math" w:eastAsia="SimSun" w:hAnsi="Cambria Math"/>
                <w:color w:val="auto"/>
                <w:sz w:val="22"/>
                <w:szCs w:val="22"/>
              </w:rPr>
              <m:t>x</m:t>
            </m:r>
            <m:r>
              <w:rPr>
                <w:rFonts w:ascii="Cambria Math" w:eastAsia="SimSun" w:hAnsi="Calibri"/>
                <w:color w:val="auto"/>
                <w:sz w:val="22"/>
                <w:szCs w:val="22"/>
              </w:rPr>
              <m:t>&lt;</m:t>
            </m:r>
            <m:r>
              <w:rPr>
                <w:rFonts w:ascii="Cambria Math" w:eastAsia="SimSun" w:hAnsi="Cambria Math"/>
                <w:color w:val="auto"/>
                <w:sz w:val="22"/>
                <w:szCs w:val="22"/>
              </w:rPr>
              <m:t>MDER</m:t>
            </m:r>
          </m:sub>
          <m:sup/>
          <m:e>
            <m:r>
              <w:rPr>
                <w:rFonts w:ascii="Cambria Math" w:eastAsia="SimSun" w:hAnsi="Cambria Math"/>
                <w:color w:val="auto"/>
                <w:sz w:val="22"/>
                <w:szCs w:val="22"/>
              </w:rPr>
              <m:t>f</m:t>
            </m:r>
            <m:d>
              <m:dPr>
                <m:ctrlPr>
                  <w:rPr>
                    <w:rFonts w:ascii="Cambria Math" w:eastAsia="SimSun" w:hAnsi="Calibri"/>
                    <w:i/>
                    <w:color w:val="auto"/>
                    <w:sz w:val="22"/>
                    <w:szCs w:val="22"/>
                  </w:rPr>
                </m:ctrlPr>
              </m:dPr>
              <m:e>
                <m:r>
                  <w:rPr>
                    <w:rFonts w:ascii="Cambria Math" w:eastAsia="SimSun" w:hAnsi="Cambria Math"/>
                    <w:color w:val="auto"/>
                    <w:sz w:val="22"/>
                    <w:szCs w:val="22"/>
                  </w:rPr>
                  <m:t>x</m:t>
                </m:r>
              </m:e>
            </m:d>
            <m:r>
              <w:rPr>
                <w:rFonts w:ascii="Cambria Math" w:eastAsia="SimSun" w:hAnsi="Cambria Math"/>
                <w:color w:val="auto"/>
                <w:sz w:val="22"/>
                <w:szCs w:val="22"/>
              </w:rPr>
              <m:t>dx</m:t>
            </m:r>
          </m:e>
        </m:nary>
      </m:oMath>
      <w:r w:rsidRPr="003A011A">
        <w:rPr>
          <w:rFonts w:ascii="Calibri" w:eastAsia="SimSun" w:hAnsi="Calibri"/>
          <w:color w:val="auto"/>
          <w:sz w:val="22"/>
          <w:szCs w:val="22"/>
        </w:rPr>
        <w:t xml:space="preserve">  where f(x) is the probability density function of per capita calorie consumption and MDER is a Minimum Dietary Energy Requirement. The MDER threshold is computed on the basis of normative energy requirement standards referred to a minimum level of physical activity. Estimates of the number of undernourished (NoU) - calculated by multiplying the PoU by the size of the reference population - are used to monitor progress towards the World Food Summit goal of reducing by half the number of people suffering from undernourishment. The parameters needed for the calculation of the indicator are: the mean level of dietary energy consumption (DEC); a cut-off point defined as the Minimum Dietary Energy Requirement (MDER); the coefficient of variation (CV) as a parameter accounting for inequality in food consumption; and a skewedness (SK) parameter accounting for asymmetry in the distribution.  The DEC as well as the MDER are updated annually, with the former calculated from the FAO Food Balance Sheets.  The MDER is calculated as a weighted average of energy requirements according to sex and age class, and is updated each year from UN population ratio data.  The inequality in food consumption parameters are derived from National Household Survey data when such data is available and reliable.  Due to the limited number of available household surveys, the inequality in food access parameters are updated much less frequently over time than the DEC and MDER parameters</w:t>
      </w:r>
      <w:r w:rsidRPr="003A011A">
        <w:rPr>
          <w:rFonts w:ascii="Calibri" w:eastAsia="SimSun" w:hAnsi="Calibri"/>
          <w:color w:val="auto"/>
          <w:sz w:val="22"/>
          <w:szCs w:val="22"/>
          <w:vertAlign w:val="superscript"/>
        </w:rPr>
        <w:footnoteReference w:id="2"/>
      </w:r>
      <w:r w:rsidRPr="003A011A">
        <w:rPr>
          <w:rFonts w:ascii="Calibri" w:eastAsia="SimSun" w:hAnsi="Calibri"/>
          <w:color w:val="auto"/>
          <w:sz w:val="22"/>
          <w:szCs w:val="22"/>
        </w:rPr>
        <w:t xml:space="preserve">. </w:t>
      </w:r>
    </w:p>
    <w:p w:rsidR="003A011A" w:rsidRPr="003A011A" w:rsidRDefault="003A011A" w:rsidP="003A011A">
      <w:pPr>
        <w:keepNext/>
        <w:numPr>
          <w:ilvl w:val="0"/>
          <w:numId w:val="9"/>
        </w:numPr>
        <w:suppressAutoHyphens/>
        <w:spacing w:after="200" w:line="264" w:lineRule="auto"/>
        <w:ind w:right="-285"/>
        <w:contextualSpacing/>
        <w:jc w:val="both"/>
        <w:outlineLvl w:val="2"/>
        <w:rPr>
          <w:rFonts w:ascii="Calibri" w:eastAsia="SimSun" w:hAnsi="Calibri"/>
          <w:b/>
          <w:color w:val="auto"/>
          <w:sz w:val="22"/>
          <w:szCs w:val="22"/>
        </w:rPr>
      </w:pPr>
      <w:r w:rsidRPr="003A011A">
        <w:rPr>
          <w:rFonts w:ascii="Calibri" w:eastAsia="SimSun" w:hAnsi="Calibri"/>
          <w:b/>
          <w:color w:val="auto"/>
          <w:sz w:val="22"/>
          <w:szCs w:val="22"/>
        </w:rPr>
        <w:t>How is the indicator linked to the specific TARGET as worded in the OWG Report?</w:t>
      </w:r>
    </w:p>
    <w:p w:rsidR="003A011A" w:rsidRPr="003A011A" w:rsidRDefault="003A011A" w:rsidP="003A011A">
      <w:pPr>
        <w:spacing w:after="200" w:line="264"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The indicator refers to food available for consumption over a period on one year. It refers to a severe condition of lack of food. In this respect, it is fully consistent with the spirit of the developmental goal. Energy intake is a very specific aspect of food insecurity, which applies where conditions are more severe. </w:t>
      </w:r>
    </w:p>
    <w:p w:rsidR="003A011A" w:rsidRPr="003A011A" w:rsidRDefault="003A011A" w:rsidP="003A011A">
      <w:pPr>
        <w:spacing w:after="200" w:line="264"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Ideally, undernourishment should be assessed at the individual level by comparing individual energy requirements with individual energy intakes. This would enable the classification of each person in the population as undernourished or not. However, this approach is not feasible for two reasons: individual energy requirements are practically unobservable with standard data collection methods; and individual food consumption is currently measured with precision in only a few countries and for relatively limited samples. The individual-level consumption data that can be estimated from National Household Survey data are largely approximated owing to disparities in intra-household food allocation, the variability of individual energy requirements, and the day-to-day variability of food consumption that can arise for reasons independent of food insecurity. The solution adopted by FAO has been to estimate the PoU with reference to the population as a whole, summarized through a representative individual, and to combine available micro-data on food consumption with macro-data. </w:t>
      </w:r>
    </w:p>
    <w:p w:rsidR="003A011A" w:rsidRPr="003A011A" w:rsidRDefault="003A011A" w:rsidP="003A011A">
      <w:pPr>
        <w:spacing w:after="200" w:line="264" w:lineRule="auto"/>
        <w:ind w:right="-285"/>
        <w:jc w:val="both"/>
        <w:rPr>
          <w:rFonts w:ascii="Calibri" w:eastAsia="SimSun" w:hAnsi="Calibri"/>
          <w:color w:val="auto"/>
          <w:sz w:val="22"/>
          <w:szCs w:val="22"/>
        </w:rPr>
      </w:pPr>
      <w:r w:rsidRPr="003A011A">
        <w:rPr>
          <w:rFonts w:ascii="Calibri" w:eastAsia="SimSun" w:hAnsi="Calibri"/>
          <w:color w:val="auto"/>
          <w:sz w:val="22"/>
          <w:szCs w:val="22"/>
        </w:rPr>
        <w:lastRenderedPageBreak/>
        <w:t xml:space="preserve">The Prevalence of Undernourishment indicator is still one of the most reliable tools to monitor progress towards reducing global hunger. Recent innovations to the methodology, such as those presented in </w:t>
      </w:r>
      <w:r w:rsidRPr="003A011A">
        <w:rPr>
          <w:rFonts w:ascii="Calibri" w:eastAsia="SimSun" w:hAnsi="Calibri"/>
          <w:i/>
          <w:color w:val="auto"/>
          <w:sz w:val="22"/>
          <w:szCs w:val="22"/>
        </w:rPr>
        <w:t>Wanner et al.</w:t>
      </w:r>
      <w:r w:rsidRPr="003A011A">
        <w:rPr>
          <w:rFonts w:ascii="Calibri" w:eastAsia="SimSun" w:hAnsi="Calibri"/>
          <w:color w:val="auto"/>
          <w:sz w:val="22"/>
          <w:szCs w:val="22"/>
        </w:rPr>
        <w:t xml:space="preserve"> (2014) allow to improve the quality of global monitoring, and to capture more accurately progress in reducing hunger and how the problem is currently distributed globally. In 2012 the functional form of habitual food consumption was modified. The Skewed Normal functional form was introduced to take into account the asymmetry of the distribution. This was a major improvement, as it allowed better capturing the characteristics of the distribution, and how this would change when calories consumption increases. At the same time, a strong increase was promoted in the number of Household Budget Survey employed in the calculation of the CV and SK parameter. Household Budget Survey now cover about 70 percent of the total number of undernourished estimated. Another main recent refinement, introduced in 2014, is a data-driven flexible selection criterion for the choice of the functional form of the distribution of per capita habitual calorie consumption that maintains the probability framework.  Further improvements to the calculation of inequality in food access parameters, both directly and indirectly, have been made in 2014 to allow for time-varying parameters that take into account economic progress and demographic changes. </w:t>
      </w:r>
    </w:p>
    <w:p w:rsidR="003A011A" w:rsidRPr="003A011A" w:rsidRDefault="003A011A" w:rsidP="003A011A">
      <w:pPr>
        <w:spacing w:after="200" w:line="264"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At the same time, the indicator does not convey information on the quality of food, nor on its nutritional value. The reason is that it focuses on the most severe aspect of hunger, and it is therefore solely based on the number of calories consumed through food. The parametric approach adopted by FAO allows obtaining reliable estimated for relatively large population groups. </w:t>
      </w:r>
    </w:p>
    <w:p w:rsidR="003A011A" w:rsidRPr="003A011A" w:rsidRDefault="003A011A" w:rsidP="003A011A">
      <w:pPr>
        <w:spacing w:after="200" w:line="264" w:lineRule="auto"/>
        <w:ind w:right="-285"/>
        <w:jc w:val="both"/>
        <w:rPr>
          <w:rFonts w:ascii="Calibri" w:eastAsia="SimSun" w:hAnsi="Calibri"/>
          <w:color w:val="auto"/>
          <w:sz w:val="22"/>
          <w:szCs w:val="22"/>
        </w:rPr>
      </w:pPr>
      <w:r w:rsidRPr="003A011A">
        <w:rPr>
          <w:rFonts w:ascii="Calibri" w:eastAsia="SimSun" w:hAnsi="Calibri"/>
          <w:color w:val="auto"/>
          <w:sz w:val="22"/>
          <w:szCs w:val="22"/>
        </w:rPr>
        <w:t>Information about the sufficiency of calories from food for specific population groups, such as the poor and the vulnerable, can be derived if such groups can be identified within the population, and if sampling allows drawing inference on the habitual food consumption of these groups.</w:t>
      </w:r>
    </w:p>
    <w:p w:rsidR="003A011A" w:rsidRPr="003A011A" w:rsidRDefault="003A011A" w:rsidP="003A011A">
      <w:pPr>
        <w:spacing w:after="200" w:line="264"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In principle, the indicator can be computed for specific population groups, such as the poor and the vulnerable. However, this requires that such groups are clearly identifiable in the population, and that sampling allows drawing inference on their habitual food consumption. In fact, such information is seldom available. </w:t>
      </w:r>
    </w:p>
    <w:p w:rsidR="003A011A" w:rsidRPr="003A011A" w:rsidRDefault="003A011A" w:rsidP="003A011A">
      <w:pPr>
        <w:keepNext/>
        <w:numPr>
          <w:ilvl w:val="0"/>
          <w:numId w:val="9"/>
        </w:numPr>
        <w:suppressAutoHyphens/>
        <w:spacing w:after="200" w:line="264" w:lineRule="auto"/>
        <w:ind w:right="-285"/>
        <w:contextualSpacing/>
        <w:jc w:val="both"/>
        <w:outlineLvl w:val="2"/>
        <w:rPr>
          <w:rFonts w:ascii="Calibri" w:eastAsia="SimSun" w:hAnsi="Calibri"/>
          <w:b/>
          <w:color w:val="auto"/>
          <w:sz w:val="22"/>
          <w:szCs w:val="22"/>
        </w:rPr>
      </w:pPr>
      <w:r w:rsidRPr="003A011A">
        <w:rPr>
          <w:rFonts w:ascii="Calibri" w:eastAsia="SimSun" w:hAnsi="Calibri"/>
          <w:b/>
          <w:color w:val="auto"/>
          <w:sz w:val="22"/>
          <w:szCs w:val="22"/>
        </w:rPr>
        <w:t>Does the indicator already exist, and is it regularly reported?</w:t>
      </w:r>
    </w:p>
    <w:p w:rsidR="003A011A" w:rsidRPr="003A011A" w:rsidRDefault="003A011A" w:rsidP="003A011A">
      <w:pPr>
        <w:spacing w:after="200" w:line="264" w:lineRule="auto"/>
        <w:ind w:right="-285"/>
        <w:jc w:val="both"/>
        <w:rPr>
          <w:rFonts w:ascii="Calibri" w:eastAsia="SimSun" w:hAnsi="Calibri"/>
          <w:color w:val="auto"/>
          <w:sz w:val="22"/>
          <w:szCs w:val="22"/>
        </w:rPr>
      </w:pPr>
      <w:r w:rsidRPr="003A011A">
        <w:rPr>
          <w:rFonts w:ascii="Calibri" w:eastAsia="SimSun" w:hAnsi="Calibri"/>
          <w:color w:val="auto"/>
          <w:sz w:val="22"/>
          <w:szCs w:val="22"/>
        </w:rPr>
        <w:t>Yes, the indicator exists. FAO maintains the data and reports on it annually.</w:t>
      </w:r>
    </w:p>
    <w:p w:rsidR="003A011A" w:rsidRPr="003A011A" w:rsidRDefault="003A011A" w:rsidP="003A011A">
      <w:pPr>
        <w:spacing w:after="200" w:line="264"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Metadata are available at the FAO Statistics website </w:t>
      </w:r>
      <w:hyperlink r:id="rId9" w:anchor=".VM89cGjF-VM" w:history="1">
        <w:r w:rsidRPr="003A011A">
          <w:rPr>
            <w:rFonts w:ascii="Calibri" w:eastAsia="SimSun" w:hAnsi="Calibri"/>
            <w:color w:val="auto"/>
            <w:sz w:val="22"/>
            <w:szCs w:val="22"/>
            <w:u w:val="single"/>
          </w:rPr>
          <w:t>http://www.fao.org/economic/ess/ess-fs/ess-fadata/it/#.VM89cGjF-VM</w:t>
        </w:r>
      </w:hyperlink>
      <w:r w:rsidRPr="003A011A">
        <w:rPr>
          <w:rFonts w:ascii="Calibri" w:eastAsia="SimSun" w:hAnsi="Calibri"/>
          <w:color w:val="auto"/>
          <w:sz w:val="22"/>
          <w:szCs w:val="22"/>
        </w:rPr>
        <w:t xml:space="preserve"> as Excel sheets associated with the data; and from the FAOSTAT website, at </w:t>
      </w:r>
      <w:hyperlink r:id="rId10" w:history="1">
        <w:r w:rsidRPr="003A011A">
          <w:rPr>
            <w:rFonts w:ascii="Calibri" w:eastAsia="SimSun" w:hAnsi="Calibri"/>
            <w:color w:val="auto"/>
            <w:sz w:val="22"/>
            <w:szCs w:val="22"/>
            <w:u w:val="single"/>
          </w:rPr>
          <w:t>http://faostat3.fao.org/download/D/*/E</w:t>
        </w:r>
      </w:hyperlink>
      <w:r w:rsidRPr="003A011A">
        <w:rPr>
          <w:rFonts w:ascii="Calibri" w:eastAsia="SimSun" w:hAnsi="Calibri"/>
          <w:color w:val="auto"/>
          <w:sz w:val="22"/>
          <w:szCs w:val="22"/>
        </w:rPr>
        <w:t>.</w:t>
      </w:r>
    </w:p>
    <w:p w:rsidR="003A011A" w:rsidRPr="003A011A" w:rsidRDefault="003A011A" w:rsidP="003A011A">
      <w:pPr>
        <w:keepNext/>
        <w:numPr>
          <w:ilvl w:val="0"/>
          <w:numId w:val="9"/>
        </w:numPr>
        <w:suppressAutoHyphens/>
        <w:spacing w:after="200" w:line="264" w:lineRule="auto"/>
        <w:ind w:right="-285"/>
        <w:contextualSpacing/>
        <w:jc w:val="both"/>
        <w:outlineLvl w:val="2"/>
        <w:rPr>
          <w:rFonts w:ascii="Calibri" w:eastAsia="SimSun" w:hAnsi="Calibri"/>
          <w:b/>
          <w:color w:val="auto"/>
          <w:sz w:val="22"/>
          <w:szCs w:val="22"/>
        </w:rPr>
      </w:pPr>
      <w:r w:rsidRPr="003A011A">
        <w:rPr>
          <w:rFonts w:ascii="Calibri" w:eastAsia="SimSun" w:hAnsi="Calibri"/>
          <w:b/>
          <w:color w:val="auto"/>
          <w:sz w:val="22"/>
          <w:szCs w:val="22"/>
        </w:rPr>
        <w:t>Comment on the reliability, potential coverage, comparability across countries, and the possibility to compute the indicator at sub-national level.</w:t>
      </w:r>
    </w:p>
    <w:p w:rsidR="003A011A" w:rsidRPr="003A011A" w:rsidRDefault="003A011A" w:rsidP="003A011A">
      <w:pPr>
        <w:spacing w:after="200" w:line="264"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 xml:space="preserve">Reliability </w:t>
      </w:r>
    </w:p>
    <w:p w:rsidR="003A011A" w:rsidRPr="003A011A" w:rsidRDefault="003A011A" w:rsidP="003A011A">
      <w:pPr>
        <w:spacing w:after="200" w:line="264"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Reliability depends on the quality of the background data, specifically on Dietary Energy Supply, the distribution of habitual food consumption in the population – which is derived from household budget surveys whenever possible -- the population, its structure and height distribution. No statistical margin of error can be determined for the prevalence of undernourishment. </w:t>
      </w:r>
    </w:p>
    <w:p w:rsidR="003A011A" w:rsidRPr="003A011A" w:rsidRDefault="003A011A" w:rsidP="003A011A">
      <w:pPr>
        <w:spacing w:after="200" w:line="264"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The ability of the indicator to approximate access to food depends upon the extent to which existing data allow characterizing effectively the probability distribution of habitual food consumption in the reference population. As mentioned, the FAO methodology combines available micro-data on food </w:t>
      </w:r>
      <w:r w:rsidRPr="003A011A">
        <w:rPr>
          <w:rFonts w:ascii="Calibri" w:eastAsia="SimSun" w:hAnsi="Calibri"/>
          <w:color w:val="auto"/>
          <w:sz w:val="22"/>
          <w:szCs w:val="22"/>
        </w:rPr>
        <w:lastRenderedPageBreak/>
        <w:t xml:space="preserve">consumption derived from surveys with macro-data from food balance sheets. Food balance sheets provide information on the amount of food that is available for consumption after taking into account </w:t>
      </w:r>
      <w:proofErr w:type="gramStart"/>
      <w:r w:rsidRPr="003A011A">
        <w:rPr>
          <w:rFonts w:ascii="Calibri" w:eastAsia="SimSun" w:hAnsi="Calibri"/>
          <w:color w:val="auto"/>
          <w:sz w:val="22"/>
          <w:szCs w:val="22"/>
        </w:rPr>
        <w:t>all the</w:t>
      </w:r>
      <w:proofErr w:type="gramEnd"/>
      <w:r w:rsidRPr="003A011A">
        <w:rPr>
          <w:rFonts w:ascii="Calibri" w:eastAsia="SimSun" w:hAnsi="Calibri"/>
          <w:color w:val="auto"/>
          <w:sz w:val="22"/>
          <w:szCs w:val="22"/>
        </w:rPr>
        <w:t xml:space="preserve"> possible alternative uses of the food items; hence, they provide approximate measures of per capita consumption, which are available for a large number of countries and are homogenous. The methodology adopted for computing these data is currently under revision, together with the estimates of waste parameters employed to derive the DEC, so the level of accuracy is expected to increase in the next few years. Survey data, where available and reliable, are employed in the FAO methodology to compute the variability (CV) and skewedness (SK) parameters that characterize the distribution of food consumption f(x). It is therefore essential that surveys are improved to obtain more accurate measures of undernourishment. Such improvement will require promoting greater standardization across existing surveys, particularly household budget surveys, and conducting more refined surveys that capture food intake at the individual level.</w:t>
      </w:r>
    </w:p>
    <w:p w:rsidR="003A011A" w:rsidRPr="003A011A" w:rsidRDefault="003A011A" w:rsidP="003A011A">
      <w:pPr>
        <w:spacing w:after="200" w:line="264"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Coverage</w:t>
      </w:r>
    </w:p>
    <w:p w:rsidR="003A011A" w:rsidRPr="003A011A" w:rsidRDefault="003A011A" w:rsidP="003A011A">
      <w:pPr>
        <w:spacing w:after="200" w:line="264" w:lineRule="auto"/>
        <w:ind w:right="-285"/>
        <w:jc w:val="both"/>
        <w:rPr>
          <w:rFonts w:ascii="Calibri" w:eastAsia="SimSun" w:hAnsi="Calibri"/>
          <w:bCs/>
          <w:iCs/>
          <w:color w:val="auto"/>
          <w:sz w:val="22"/>
          <w:szCs w:val="22"/>
        </w:rPr>
      </w:pPr>
      <w:r w:rsidRPr="003A011A">
        <w:rPr>
          <w:rFonts w:ascii="Calibri" w:eastAsia="SimSun" w:hAnsi="Calibri"/>
          <w:bCs/>
          <w:iCs/>
          <w:color w:val="auto"/>
          <w:sz w:val="22"/>
          <w:szCs w:val="22"/>
        </w:rPr>
        <w:t xml:space="preserve">Consistent time series for the indicator exist from 1990-92 for about 140 countries. </w:t>
      </w:r>
      <w:r w:rsidRPr="003A011A">
        <w:rPr>
          <w:rFonts w:ascii="Calibri" w:eastAsia="SimSun" w:hAnsi="Calibri"/>
          <w:color w:val="auto"/>
          <w:sz w:val="22"/>
          <w:szCs w:val="22"/>
        </w:rPr>
        <w:t xml:space="preserve">The indicator is regularly reported in the annual State of Food Insecurity in the World Report published by FAO, IFAD and WFP since 1999 and in the Millennium Development Goal Report of the UN Statistics Division. Data on the indicators are published on the FAO Statistics website, at </w:t>
      </w:r>
      <w:hyperlink r:id="rId11" w:anchor=".VM89cGjF-VM" w:history="1">
        <w:r w:rsidRPr="003A011A">
          <w:rPr>
            <w:rFonts w:ascii="Calibri" w:eastAsia="SimSun" w:hAnsi="Calibri"/>
            <w:color w:val="auto"/>
            <w:sz w:val="22"/>
            <w:szCs w:val="22"/>
          </w:rPr>
          <w:t>http://www.fao.org/economic/ess/ess-fs/ess-fadata/it/#.VM89cGjF-VM</w:t>
        </w:r>
      </w:hyperlink>
      <w:r w:rsidRPr="003A011A">
        <w:rPr>
          <w:rFonts w:ascii="Calibri" w:eastAsia="SimSun" w:hAnsi="Calibri"/>
          <w:color w:val="auto"/>
          <w:sz w:val="22"/>
          <w:szCs w:val="22"/>
        </w:rPr>
        <w:t xml:space="preserve"> and updated every year. From year 2014 they are also available in FAOSTAT, at </w:t>
      </w:r>
      <w:hyperlink r:id="rId12" w:history="1">
        <w:r w:rsidRPr="003A011A">
          <w:rPr>
            <w:rFonts w:ascii="Calibri" w:eastAsia="SimSun" w:hAnsi="Calibri"/>
            <w:color w:val="auto"/>
            <w:sz w:val="22"/>
            <w:szCs w:val="22"/>
          </w:rPr>
          <w:t>http://faostat3.fao.org/download/D/*/E</w:t>
        </w:r>
      </w:hyperlink>
      <w:r w:rsidRPr="003A011A">
        <w:rPr>
          <w:rFonts w:ascii="Calibri" w:eastAsia="SimSun" w:hAnsi="Calibri"/>
          <w:color w:val="auto"/>
          <w:sz w:val="22"/>
          <w:szCs w:val="22"/>
        </w:rPr>
        <w:t>.</w:t>
      </w:r>
    </w:p>
    <w:p w:rsidR="003A011A" w:rsidRPr="003A011A" w:rsidRDefault="003A011A" w:rsidP="003A011A">
      <w:pPr>
        <w:spacing w:after="200" w:line="264"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Comparability across countries</w:t>
      </w:r>
    </w:p>
    <w:p w:rsidR="003A011A" w:rsidRPr="003A011A" w:rsidRDefault="003A011A" w:rsidP="003A011A">
      <w:pPr>
        <w:spacing w:after="200" w:line="264"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Comparability across time and space is relatively strong. The only potential cause of lack of homogeneity is the quality of the background data. Not all countries monitored undertake regular and reliable surveys of food consumption. In countries where this information source is of poor quality or missing, the distribution of habitual food consumption is estimated indirectly, through an econometric exercise that relates the CV of food consumption to food prices, incomes and their distribution. </w:t>
      </w:r>
    </w:p>
    <w:p w:rsidR="003A011A" w:rsidRPr="003A011A" w:rsidRDefault="003A011A" w:rsidP="003A011A">
      <w:pPr>
        <w:spacing w:after="200" w:line="264"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 xml:space="preserve">Sub-national estimates </w:t>
      </w:r>
    </w:p>
    <w:p w:rsidR="003A011A" w:rsidRPr="003A011A" w:rsidRDefault="003A011A" w:rsidP="003A011A">
      <w:pPr>
        <w:spacing w:after="200" w:line="264"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In principle the indicator could be defined at sub-national level. However, reliable information has to be available on the amount and distribution of habitual food consumption in the population of the sub-national areas of interest. In fact, this information is frequently available only for wide population sub-groups – such as rural and urban areas and some major geographical areas. The global monitoring exercise has therefore always relied only on the Prevalence of Undernourishment at national level, and never used the indicator at sub-national levels. </w:t>
      </w:r>
    </w:p>
    <w:p w:rsidR="003A011A" w:rsidRPr="003A011A" w:rsidRDefault="003A011A" w:rsidP="003A011A">
      <w:pPr>
        <w:keepNext/>
        <w:numPr>
          <w:ilvl w:val="0"/>
          <w:numId w:val="9"/>
        </w:numPr>
        <w:suppressAutoHyphens/>
        <w:spacing w:after="200" w:line="264" w:lineRule="auto"/>
        <w:ind w:right="-285"/>
        <w:contextualSpacing/>
        <w:jc w:val="both"/>
        <w:outlineLvl w:val="2"/>
        <w:rPr>
          <w:rFonts w:ascii="Calibri" w:eastAsia="SimSun" w:hAnsi="Calibri"/>
          <w:b/>
          <w:color w:val="auto"/>
          <w:sz w:val="22"/>
          <w:szCs w:val="22"/>
        </w:rPr>
      </w:pPr>
      <w:r w:rsidRPr="003A011A">
        <w:rPr>
          <w:rFonts w:ascii="Calibri" w:eastAsia="SimSun" w:hAnsi="Calibri"/>
          <w:b/>
          <w:color w:val="auto"/>
          <w:sz w:val="22"/>
          <w:szCs w:val="22"/>
        </w:rPr>
        <w:t xml:space="preserve">   Is there already a baseline value for 2015? </w:t>
      </w:r>
    </w:p>
    <w:p w:rsidR="003A011A" w:rsidRPr="003A011A" w:rsidRDefault="003A011A" w:rsidP="003A011A">
      <w:pPr>
        <w:spacing w:after="200" w:line="264" w:lineRule="auto"/>
        <w:ind w:right="-285"/>
        <w:jc w:val="both"/>
        <w:rPr>
          <w:rFonts w:ascii="Calibri" w:eastAsia="SimSun" w:hAnsi="Calibri"/>
          <w:color w:val="auto"/>
          <w:sz w:val="22"/>
          <w:szCs w:val="22"/>
        </w:rPr>
      </w:pPr>
      <w:r w:rsidRPr="003A011A">
        <w:rPr>
          <w:rFonts w:ascii="Calibri" w:eastAsia="SimSun" w:hAnsi="Calibri"/>
          <w:color w:val="auto"/>
          <w:sz w:val="22"/>
          <w:szCs w:val="22"/>
        </w:rPr>
        <w:t>Yes. A target for 2030 can be identified in terms of a minimum level, allowing for the possibility that lack of food has become marginal in the reference population. The choice of the threshold should also reflect the ability of the indicator to be accurate at such level, and effectively capture changes in the level.</w:t>
      </w:r>
    </w:p>
    <w:bookmarkStart w:id="9" w:name="_Indicator_2.1.2_"/>
    <w:bookmarkStart w:id="10" w:name="_Indicator_2.1.3_Percentage"/>
    <w:bookmarkStart w:id="11" w:name="_Target_2.2._"/>
    <w:bookmarkStart w:id="12" w:name="_Toc410645241"/>
    <w:bookmarkStart w:id="13" w:name="_Toc410657834"/>
    <w:bookmarkStart w:id="14" w:name="_Toc410890057"/>
    <w:bookmarkStart w:id="15" w:name="Target2_2"/>
    <w:bookmarkStart w:id="16" w:name="_Toc410912470"/>
    <w:bookmarkEnd w:id="9"/>
    <w:bookmarkEnd w:id="10"/>
    <w:bookmarkEnd w:id="11"/>
    <w:p w:rsidR="003A011A" w:rsidRPr="003A011A" w:rsidRDefault="003A011A" w:rsidP="003A011A">
      <w:pPr>
        <w:pageBreakBefore/>
        <w:shd w:val="clear" w:color="auto" w:fill="002060"/>
        <w:spacing w:after="200" w:line="276" w:lineRule="auto"/>
        <w:ind w:right="-285"/>
        <w:jc w:val="center"/>
        <w:outlineLvl w:val="0"/>
        <w:rPr>
          <w:rFonts w:ascii="Calibri" w:eastAsia="SimSun" w:hAnsi="Calibri"/>
          <w:b/>
          <w:color w:val="FFFFFF"/>
        </w:rPr>
      </w:pPr>
      <w:r w:rsidRPr="003A011A">
        <w:rPr>
          <w:rFonts w:ascii="Calibri" w:eastAsia="SimSun" w:hAnsi="Calibri"/>
          <w:b/>
          <w:color w:val="FFFFFF"/>
          <w:shd w:val="clear" w:color="auto" w:fill="BFBFBF"/>
        </w:rPr>
        <w:lastRenderedPageBreak/>
        <w:fldChar w:fldCharType="begin"/>
      </w:r>
      <w:r w:rsidRPr="003A011A">
        <w:rPr>
          <w:rFonts w:ascii="Calibri" w:eastAsia="SimSun" w:hAnsi="Calibri"/>
          <w:color w:val="FFFFFF"/>
          <w:shd w:val="clear" w:color="auto" w:fill="BFBFBF"/>
        </w:rPr>
        <w:instrText xml:space="preserve"> HYPERLINK  \l "List_of_indicators" </w:instrText>
      </w:r>
      <w:r w:rsidRPr="003A011A">
        <w:rPr>
          <w:rFonts w:ascii="Calibri" w:eastAsia="SimSun" w:hAnsi="Calibri"/>
          <w:b/>
          <w:color w:val="FFFFFF"/>
          <w:shd w:val="clear" w:color="auto" w:fill="BFBFBF"/>
        </w:rPr>
        <w:fldChar w:fldCharType="separate"/>
      </w:r>
      <w:proofErr w:type="gramStart"/>
      <w:r w:rsidRPr="003A011A">
        <w:rPr>
          <w:rFonts w:ascii="Calibri" w:eastAsia="SimSun" w:hAnsi="Calibri"/>
          <w:b/>
          <w:color w:val="FFFFFF"/>
          <w:u w:val="single"/>
        </w:rPr>
        <w:t>Target 2.2.</w:t>
      </w:r>
      <w:bookmarkEnd w:id="12"/>
      <w:bookmarkEnd w:id="13"/>
      <w:bookmarkEnd w:id="14"/>
      <w:proofErr w:type="gramEnd"/>
      <w:r w:rsidRPr="003A011A">
        <w:rPr>
          <w:rFonts w:ascii="Calibri" w:eastAsia="SimSun" w:hAnsi="Calibri"/>
          <w:b/>
          <w:color w:val="FFFFFF"/>
          <w:shd w:val="clear" w:color="auto" w:fill="BFBFBF"/>
        </w:rPr>
        <w:fldChar w:fldCharType="end"/>
      </w:r>
      <w:bookmarkEnd w:id="15"/>
      <w:r w:rsidRPr="003A011A">
        <w:rPr>
          <w:rFonts w:ascii="Calibri" w:eastAsia="SimSun" w:hAnsi="Calibri"/>
          <w:b/>
          <w:color w:val="FFFFFF"/>
        </w:rPr>
        <w:t xml:space="preserve"> </w:t>
      </w:r>
      <w:r w:rsidRPr="003A011A">
        <w:rPr>
          <w:rFonts w:ascii="Calibri" w:eastAsia="SimSun" w:hAnsi="Calibri"/>
          <w:b/>
          <w:color w:val="FFFFFF"/>
        </w:rPr>
        <w:br/>
        <w:t xml:space="preserve">By 2030, end all forms of malnutrition, including achieving, by 2025, the internationally agreed targets on stunting and wasting in children </w:t>
      </w:r>
      <w:proofErr w:type="gramStart"/>
      <w:r w:rsidRPr="003A011A">
        <w:rPr>
          <w:rFonts w:ascii="Calibri" w:eastAsia="SimSun" w:hAnsi="Calibri"/>
          <w:b/>
          <w:color w:val="FFFFFF"/>
        </w:rPr>
        <w:t>under</w:t>
      </w:r>
      <w:proofErr w:type="gramEnd"/>
      <w:r w:rsidRPr="003A011A">
        <w:rPr>
          <w:rFonts w:ascii="Calibri" w:eastAsia="SimSun" w:hAnsi="Calibri"/>
          <w:b/>
          <w:color w:val="FFFFFF"/>
        </w:rPr>
        <w:t xml:space="preserve"> 5 years of age, and address the nutritional needs of adolescent girls, pregnant and lactating women and older persons</w:t>
      </w:r>
      <w:bookmarkEnd w:id="16"/>
    </w:p>
    <w:p w:rsidR="003A011A" w:rsidRPr="003A011A" w:rsidRDefault="003A011A" w:rsidP="003A011A">
      <w:pPr>
        <w:spacing w:after="200" w:line="276" w:lineRule="auto"/>
        <w:ind w:right="-285"/>
        <w:jc w:val="both"/>
        <w:rPr>
          <w:rFonts w:ascii="Calibri" w:eastAsia="SimSun" w:hAnsi="Calibri"/>
          <w:i/>
          <w:color w:val="auto"/>
          <w:sz w:val="22"/>
          <w:szCs w:val="22"/>
        </w:rPr>
      </w:pPr>
    </w:p>
    <w:p w:rsidR="003A011A" w:rsidRPr="003A011A" w:rsidRDefault="003A011A" w:rsidP="003A011A">
      <w:pPr>
        <w:spacing w:after="200" w:line="276" w:lineRule="auto"/>
        <w:ind w:right="-285"/>
        <w:jc w:val="both"/>
        <w:rPr>
          <w:rFonts w:ascii="Calibri" w:eastAsia="SimSun" w:hAnsi="Calibri"/>
          <w:i/>
          <w:color w:val="auto"/>
          <w:sz w:val="22"/>
          <w:szCs w:val="22"/>
        </w:rPr>
      </w:pPr>
      <w:r w:rsidRPr="003A011A">
        <w:rPr>
          <w:rFonts w:ascii="Calibri" w:eastAsia="SimSun" w:hAnsi="Calibri"/>
          <w:i/>
          <w:color w:val="auto"/>
          <w:sz w:val="22"/>
          <w:szCs w:val="22"/>
        </w:rPr>
        <w:t>FAO endorses the set of indicators that have been endorsed by Member States at the 65</w:t>
      </w:r>
      <w:r w:rsidRPr="003A011A">
        <w:rPr>
          <w:rFonts w:ascii="Calibri" w:eastAsia="SimSun" w:hAnsi="Calibri"/>
          <w:i/>
          <w:color w:val="auto"/>
          <w:sz w:val="22"/>
          <w:szCs w:val="22"/>
          <w:vertAlign w:val="superscript"/>
        </w:rPr>
        <w:t>th</w:t>
      </w:r>
      <w:r w:rsidRPr="003A011A">
        <w:rPr>
          <w:rFonts w:ascii="Calibri" w:eastAsia="SimSun" w:hAnsi="Calibri"/>
          <w:i/>
          <w:color w:val="auto"/>
          <w:sz w:val="22"/>
          <w:szCs w:val="22"/>
        </w:rPr>
        <w:t xml:space="preserve"> World Health Assembly (WHA 2012), and supports in particular the</w:t>
      </w:r>
      <w:r w:rsidRPr="003A011A">
        <w:rPr>
          <w:rFonts w:ascii="Calibri" w:eastAsia="SimSun" w:hAnsi="Calibri"/>
          <w:i/>
          <w:color w:val="auto"/>
          <w:sz w:val="22"/>
          <w:szCs w:val="22"/>
          <w:u w:val="single"/>
        </w:rPr>
        <w:t xml:space="preserve"> Prevalence of stunting </w:t>
      </w:r>
      <w:r w:rsidRPr="003A011A">
        <w:rPr>
          <w:rFonts w:ascii="Calibri" w:eastAsia="SimSun" w:hAnsi="Calibri"/>
          <w:i/>
          <w:color w:val="auto"/>
          <w:sz w:val="22"/>
          <w:szCs w:val="22"/>
        </w:rPr>
        <w:t xml:space="preserve">(low height-for-age) in children </w:t>
      </w:r>
      <w:proofErr w:type="gramStart"/>
      <w:r w:rsidRPr="003A011A">
        <w:rPr>
          <w:rFonts w:ascii="Calibri" w:eastAsia="SimSun" w:hAnsi="Calibri"/>
          <w:i/>
          <w:color w:val="auto"/>
          <w:sz w:val="22"/>
          <w:szCs w:val="22"/>
        </w:rPr>
        <w:t>under</w:t>
      </w:r>
      <w:proofErr w:type="gramEnd"/>
      <w:r w:rsidRPr="003A011A">
        <w:rPr>
          <w:rFonts w:ascii="Calibri" w:eastAsia="SimSun" w:hAnsi="Calibri"/>
          <w:i/>
          <w:color w:val="auto"/>
          <w:sz w:val="22"/>
          <w:szCs w:val="22"/>
        </w:rPr>
        <w:t xml:space="preserve"> 5 years of age, and the </w:t>
      </w:r>
      <w:r w:rsidRPr="003A011A">
        <w:rPr>
          <w:rFonts w:ascii="Calibri" w:eastAsia="SimSun" w:hAnsi="Calibri"/>
          <w:i/>
          <w:color w:val="auto"/>
          <w:sz w:val="22"/>
          <w:szCs w:val="22"/>
          <w:u w:val="single"/>
        </w:rPr>
        <w:t>Prevalence of overweight children</w:t>
      </w:r>
      <w:r w:rsidRPr="003A011A">
        <w:rPr>
          <w:rFonts w:ascii="Calibri" w:eastAsia="SimSun" w:hAnsi="Calibri"/>
          <w:i/>
          <w:color w:val="auto"/>
          <w:sz w:val="22"/>
          <w:szCs w:val="22"/>
        </w:rPr>
        <w:t xml:space="preserve"> under 5 years of age as core indicators for Target 2.2.</w:t>
      </w:r>
    </w:p>
    <w:p w:rsidR="003A011A" w:rsidRPr="003A011A" w:rsidRDefault="003A011A" w:rsidP="003A011A">
      <w:pPr>
        <w:spacing w:after="200" w:line="276" w:lineRule="auto"/>
        <w:ind w:right="-285"/>
        <w:jc w:val="both"/>
        <w:rPr>
          <w:rFonts w:ascii="Calibri" w:eastAsia="SimSun" w:hAnsi="Calibri"/>
          <w:i/>
          <w:color w:val="auto"/>
          <w:sz w:val="22"/>
          <w:szCs w:val="22"/>
        </w:rPr>
      </w:pPr>
      <w:r w:rsidRPr="003A011A">
        <w:rPr>
          <w:rFonts w:ascii="Calibri" w:eastAsia="SimSun" w:hAnsi="Calibri"/>
          <w:i/>
          <w:color w:val="auto"/>
          <w:sz w:val="22"/>
          <w:szCs w:val="22"/>
        </w:rPr>
        <w:t>Furthermore, it is strongly believed that an important determinant of malnutrition is dietary quality and therefore the Women Dietary Diversity Score (listed here as Indicator 2.2.1) is proposed as an additional one. This indicator would provide information to countries on the dimension of women consuming micronutrient poor diets, an important contribution to micronutrient-related malnutrition.</w:t>
      </w:r>
    </w:p>
    <w:p w:rsidR="003A011A" w:rsidRPr="003A011A" w:rsidRDefault="003A011A" w:rsidP="003A011A">
      <w:pPr>
        <w:spacing w:after="200" w:line="276" w:lineRule="auto"/>
        <w:ind w:right="-285"/>
        <w:jc w:val="both"/>
        <w:rPr>
          <w:rFonts w:ascii="Calibri" w:eastAsia="SimSun" w:hAnsi="Calibri"/>
          <w:i/>
          <w:color w:val="auto"/>
          <w:sz w:val="22"/>
          <w:szCs w:val="22"/>
        </w:rPr>
      </w:pPr>
      <w:r w:rsidRPr="003A011A">
        <w:rPr>
          <w:rFonts w:ascii="Calibri" w:eastAsia="SimSun" w:hAnsi="Calibri"/>
          <w:i/>
          <w:color w:val="auto"/>
          <w:sz w:val="22"/>
          <w:szCs w:val="22"/>
        </w:rPr>
        <w:t>FAO is highly concerned that UNSD’s preliminary list of May determined only one priority indicator for this target. Target 2.2 is intended to address all forms of malnutrition, which cannot be subsumed under one sole indicator. Selecting only one indicator undermines the ambition of the Post-2015 Agenda, essentially sticking to the stunting indicator already in use for the MDGs.</w:t>
      </w:r>
    </w:p>
    <w:p w:rsidR="003A011A" w:rsidRPr="003A011A" w:rsidRDefault="003A011A" w:rsidP="003A011A">
      <w:pPr>
        <w:pageBreakBefore/>
        <w:shd w:val="clear" w:color="auto" w:fill="99FF99"/>
        <w:spacing w:after="200" w:line="276" w:lineRule="auto"/>
        <w:ind w:right="-285"/>
        <w:jc w:val="center"/>
        <w:outlineLvl w:val="1"/>
        <w:rPr>
          <w:rFonts w:ascii="Calibri" w:eastAsia="SimSun" w:hAnsi="Calibri"/>
          <w:b/>
          <w:color w:val="auto"/>
        </w:rPr>
      </w:pPr>
      <w:bookmarkStart w:id="17" w:name="_Indicator_2.2.1_Prevalence"/>
      <w:bookmarkStart w:id="18" w:name="_Indicator_2.2.3_“Women"/>
      <w:bookmarkStart w:id="19" w:name="Indicator2_2_1"/>
      <w:bookmarkStart w:id="20" w:name="_Toc410657835"/>
      <w:bookmarkStart w:id="21" w:name="_Toc410890058"/>
      <w:bookmarkStart w:id="22" w:name="_Toc410912473"/>
      <w:bookmarkEnd w:id="17"/>
      <w:bookmarkEnd w:id="18"/>
      <w:r w:rsidRPr="003A011A">
        <w:rPr>
          <w:rFonts w:ascii="Calibri" w:eastAsia="SimSun" w:hAnsi="Calibri"/>
          <w:b/>
          <w:color w:val="auto"/>
        </w:rPr>
        <w:lastRenderedPageBreak/>
        <w:t xml:space="preserve">Indicator 2.2.1 </w:t>
      </w:r>
      <w:bookmarkEnd w:id="19"/>
      <w:r w:rsidRPr="003A011A">
        <w:rPr>
          <w:rFonts w:ascii="Calibri" w:eastAsia="SimSun" w:hAnsi="Calibri"/>
          <w:b/>
          <w:color w:val="auto"/>
        </w:rPr>
        <w:t>(Additional</w:t>
      </w:r>
      <w:proofErr w:type="gramStart"/>
      <w:r w:rsidRPr="003A011A">
        <w:rPr>
          <w:rFonts w:ascii="Calibri" w:eastAsia="SimSun" w:hAnsi="Calibri"/>
          <w:b/>
          <w:color w:val="auto"/>
        </w:rPr>
        <w:t>)</w:t>
      </w:r>
      <w:proofErr w:type="gramEnd"/>
      <w:r w:rsidRPr="003A011A">
        <w:rPr>
          <w:rFonts w:ascii="Calibri" w:eastAsia="SimSun" w:hAnsi="Calibri"/>
          <w:b/>
          <w:color w:val="auto"/>
        </w:rPr>
        <w:br/>
        <w:t>“</w:t>
      </w:r>
      <w:r w:rsidRPr="003A011A">
        <w:rPr>
          <w:rFonts w:ascii="Calibri" w:eastAsia="SimSun" w:hAnsi="Calibri"/>
          <w:color w:val="auto"/>
          <w:shd w:val="clear" w:color="auto" w:fill="99FF99"/>
        </w:rPr>
        <w:t>Women Dietary Diversity Score</w:t>
      </w:r>
      <w:r w:rsidRPr="003A011A">
        <w:rPr>
          <w:rFonts w:ascii="Calibri" w:eastAsia="SimSun" w:hAnsi="Calibri"/>
          <w:b/>
          <w:color w:val="auto"/>
          <w:shd w:val="clear" w:color="auto" w:fill="99FF99"/>
        </w:rPr>
        <w:t>”</w:t>
      </w:r>
      <w:bookmarkEnd w:id="20"/>
      <w:bookmarkEnd w:id="21"/>
      <w:bookmarkEnd w:id="22"/>
    </w:p>
    <w:p w:rsidR="003A011A" w:rsidRPr="003A011A" w:rsidRDefault="003A011A" w:rsidP="003A011A">
      <w:pPr>
        <w:keepNext/>
        <w:spacing w:after="200" w:line="276" w:lineRule="auto"/>
        <w:ind w:left="720" w:right="-285"/>
        <w:jc w:val="both"/>
        <w:outlineLvl w:val="2"/>
        <w:rPr>
          <w:rFonts w:ascii="Calibri" w:eastAsia="SimSun" w:hAnsi="Calibri"/>
          <w:b/>
          <w:color w:val="auto"/>
          <w:sz w:val="22"/>
          <w:szCs w:val="22"/>
        </w:rPr>
      </w:pPr>
    </w:p>
    <w:p w:rsidR="003A011A" w:rsidRPr="003A011A" w:rsidRDefault="003A011A" w:rsidP="003A011A">
      <w:pPr>
        <w:keepNext/>
        <w:numPr>
          <w:ilvl w:val="0"/>
          <w:numId w:val="4"/>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iCs/>
          <w:color w:val="auto"/>
          <w:sz w:val="22"/>
          <w:szCs w:val="22"/>
        </w:rPr>
        <w:t>Precise</w:t>
      </w:r>
      <w:r w:rsidRPr="003A011A">
        <w:rPr>
          <w:rFonts w:ascii="Calibri" w:eastAsia="SimSun" w:hAnsi="Calibri"/>
          <w:b/>
          <w:color w:val="auto"/>
          <w:sz w:val="22"/>
          <w:szCs w:val="22"/>
        </w:rPr>
        <w:t xml:space="preserve"> definition of the indicator</w:t>
      </w:r>
    </w:p>
    <w:p w:rsidR="003A011A" w:rsidRPr="003A011A" w:rsidRDefault="003A011A" w:rsidP="003A011A">
      <w:pPr>
        <w:spacing w:after="200" w:line="276" w:lineRule="auto"/>
        <w:ind w:right="-285"/>
        <w:jc w:val="both"/>
        <w:rPr>
          <w:rFonts w:ascii="Calibri" w:eastAsia="SimSun" w:hAnsi="Calibri"/>
          <w:color w:val="auto"/>
          <w:sz w:val="22"/>
          <w:szCs w:val="22"/>
          <w:vertAlign w:val="superscript"/>
        </w:rPr>
      </w:pPr>
      <w:r w:rsidRPr="003A011A">
        <w:rPr>
          <w:rFonts w:ascii="Calibri" w:eastAsia="SimSun" w:hAnsi="Calibri"/>
          <w:color w:val="auto"/>
          <w:sz w:val="22"/>
          <w:szCs w:val="22"/>
        </w:rPr>
        <w:t>The Minimum Dietary Diversity for Women (MDD-W) indicator is defined as: “the proportion of all women 15-49 years of age who consumed at least 5 out of 10 defined food groups the previous day”</w:t>
      </w:r>
      <w:r w:rsidRPr="003A011A">
        <w:rPr>
          <w:rFonts w:ascii="Calibri" w:eastAsia="SimSun" w:hAnsi="Calibri"/>
          <w:color w:val="auto"/>
          <w:sz w:val="22"/>
          <w:szCs w:val="22"/>
          <w:vertAlign w:val="superscript"/>
        </w:rPr>
        <w:footnoteReference w:id="3"/>
      </w:r>
    </w:p>
    <w:p w:rsidR="003A011A" w:rsidRPr="003A011A" w:rsidRDefault="003A011A" w:rsidP="003A011A">
      <w:pPr>
        <w:spacing w:after="200" w:line="276" w:lineRule="auto"/>
        <w:ind w:right="-285"/>
        <w:jc w:val="both"/>
        <w:rPr>
          <w:rFonts w:ascii="Calibri" w:eastAsia="SimSun" w:hAnsi="Calibri"/>
          <w:color w:val="auto"/>
          <w:sz w:val="22"/>
          <w:szCs w:val="22"/>
          <w:lang w:eastAsia="en-GB"/>
        </w:rPr>
      </w:pPr>
      <w:r w:rsidRPr="003A011A">
        <w:rPr>
          <w:rFonts w:ascii="Calibri" w:eastAsia="SimSun" w:hAnsi="Calibri"/>
          <w:color w:val="auto"/>
          <w:sz w:val="22"/>
          <w:szCs w:val="22"/>
          <w:lang w:eastAsia="en-GB"/>
        </w:rPr>
        <w:t>The 10 food groups are:</w:t>
      </w:r>
    </w:p>
    <w:p w:rsidR="003A011A" w:rsidRPr="003A011A" w:rsidRDefault="003A011A" w:rsidP="003A011A">
      <w:pPr>
        <w:numPr>
          <w:ilvl w:val="0"/>
          <w:numId w:val="8"/>
        </w:numPr>
        <w:suppressAutoHyphens/>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All starchy staple foods</w:t>
      </w:r>
    </w:p>
    <w:p w:rsidR="003A011A" w:rsidRPr="003A011A" w:rsidRDefault="003A011A" w:rsidP="003A011A">
      <w:pPr>
        <w:numPr>
          <w:ilvl w:val="0"/>
          <w:numId w:val="8"/>
        </w:numPr>
        <w:suppressAutoHyphens/>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Beans and peas</w:t>
      </w:r>
    </w:p>
    <w:p w:rsidR="003A011A" w:rsidRPr="003A011A" w:rsidRDefault="003A011A" w:rsidP="003A011A">
      <w:pPr>
        <w:numPr>
          <w:ilvl w:val="0"/>
          <w:numId w:val="8"/>
        </w:numPr>
        <w:suppressAutoHyphens/>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Nuts and seeds</w:t>
      </w:r>
    </w:p>
    <w:p w:rsidR="003A011A" w:rsidRPr="003A011A" w:rsidRDefault="003A011A" w:rsidP="003A011A">
      <w:pPr>
        <w:numPr>
          <w:ilvl w:val="0"/>
          <w:numId w:val="8"/>
        </w:numPr>
        <w:suppressAutoHyphens/>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Dairy</w:t>
      </w:r>
    </w:p>
    <w:p w:rsidR="003A011A" w:rsidRPr="003A011A" w:rsidRDefault="003A011A" w:rsidP="003A011A">
      <w:pPr>
        <w:numPr>
          <w:ilvl w:val="0"/>
          <w:numId w:val="8"/>
        </w:numPr>
        <w:suppressAutoHyphens/>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Flesh foods</w:t>
      </w:r>
    </w:p>
    <w:p w:rsidR="003A011A" w:rsidRPr="003A011A" w:rsidRDefault="003A011A" w:rsidP="003A011A">
      <w:pPr>
        <w:numPr>
          <w:ilvl w:val="0"/>
          <w:numId w:val="8"/>
        </w:numPr>
        <w:suppressAutoHyphens/>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Eggs</w:t>
      </w:r>
    </w:p>
    <w:p w:rsidR="003A011A" w:rsidRPr="003A011A" w:rsidRDefault="003A011A" w:rsidP="003A011A">
      <w:pPr>
        <w:numPr>
          <w:ilvl w:val="0"/>
          <w:numId w:val="8"/>
        </w:numPr>
        <w:suppressAutoHyphens/>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Vitamin A-rich dark green leafy vegetables</w:t>
      </w:r>
    </w:p>
    <w:p w:rsidR="003A011A" w:rsidRPr="003A011A" w:rsidRDefault="003A011A" w:rsidP="003A011A">
      <w:pPr>
        <w:numPr>
          <w:ilvl w:val="0"/>
          <w:numId w:val="8"/>
        </w:numPr>
        <w:suppressAutoHyphens/>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Other vitamin A-rich vegetables and fruits</w:t>
      </w:r>
    </w:p>
    <w:p w:rsidR="003A011A" w:rsidRPr="003A011A" w:rsidRDefault="003A011A" w:rsidP="003A011A">
      <w:pPr>
        <w:numPr>
          <w:ilvl w:val="0"/>
          <w:numId w:val="8"/>
        </w:numPr>
        <w:suppressAutoHyphens/>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Other vegetables</w:t>
      </w:r>
    </w:p>
    <w:p w:rsidR="003A011A" w:rsidRPr="003A011A" w:rsidRDefault="003A011A" w:rsidP="003A011A">
      <w:pPr>
        <w:numPr>
          <w:ilvl w:val="0"/>
          <w:numId w:val="8"/>
        </w:numPr>
        <w:suppressAutoHyphens/>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Other fruits</w:t>
      </w:r>
    </w:p>
    <w:p w:rsidR="003A011A" w:rsidRPr="003A011A" w:rsidRDefault="003A011A" w:rsidP="003A011A">
      <w:pPr>
        <w:keepNext/>
        <w:numPr>
          <w:ilvl w:val="0"/>
          <w:numId w:val="4"/>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How is the indicator linked to the specific TARGET as worded in the OWG Report?</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The MDD-W is a proxy indicator of micronutrient adequacy of the diets of women of reproductive age, with the desired direction of change being an increase of the value of the indicator. Women consuming at least five out of ten food groups have a greater likelihood of meeting their micronutrient needs than women consuming foods from fewer food groups</w:t>
      </w:r>
      <w:r w:rsidRPr="003A011A">
        <w:rPr>
          <w:rFonts w:ascii="Calibri" w:eastAsia="SimSun" w:hAnsi="Calibri"/>
          <w:color w:val="auto"/>
          <w:sz w:val="22"/>
          <w:szCs w:val="22"/>
          <w:vertAlign w:val="superscript"/>
        </w:rPr>
        <w:footnoteReference w:id="4"/>
      </w:r>
      <w:r w:rsidRPr="003A011A">
        <w:rPr>
          <w:rFonts w:ascii="Calibri" w:eastAsia="SimSun" w:hAnsi="Calibri"/>
          <w:color w:val="auto"/>
          <w:sz w:val="22"/>
          <w:szCs w:val="22"/>
        </w:rPr>
        <w:t>. Women's diets in resource-poor countries have been shown to be inadequate (Torheim, 2010; Lee, 2013)</w:t>
      </w:r>
      <w:r w:rsidRPr="003A011A">
        <w:rPr>
          <w:rFonts w:ascii="Calibri" w:eastAsia="SimSun" w:hAnsi="Calibri"/>
          <w:color w:val="auto"/>
          <w:sz w:val="22"/>
          <w:szCs w:val="22"/>
          <w:vertAlign w:val="superscript"/>
        </w:rPr>
        <w:footnoteReference w:id="5"/>
      </w:r>
      <w:r w:rsidRPr="003A011A">
        <w:rPr>
          <w:rFonts w:ascii="Calibri" w:eastAsia="SimSun" w:hAnsi="Calibri"/>
          <w:color w:val="auto"/>
          <w:sz w:val="22"/>
          <w:szCs w:val="22"/>
        </w:rPr>
        <w:t>, so this indicator is directly relevant to the target of “addressing the nutritional needs of adolescent girls, pregnant and lactating women”.</w:t>
      </w:r>
    </w:p>
    <w:p w:rsidR="003A011A" w:rsidRPr="003A011A" w:rsidRDefault="003A011A" w:rsidP="003A011A">
      <w:pPr>
        <w:keepNext/>
        <w:numPr>
          <w:ilvl w:val="0"/>
          <w:numId w:val="4"/>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lastRenderedPageBreak/>
        <w:t>Does the indicator already exist and is it regularly reported?</w:t>
      </w:r>
    </w:p>
    <w:p w:rsidR="003A011A" w:rsidRPr="003A011A" w:rsidRDefault="003A011A" w:rsidP="003A011A">
      <w:pPr>
        <w:spacing w:after="200" w:line="276" w:lineRule="auto"/>
        <w:ind w:right="-285"/>
        <w:jc w:val="both"/>
        <w:rPr>
          <w:rFonts w:ascii="Calibri" w:eastAsia="SimSun" w:hAnsi="Calibri"/>
          <w:color w:val="auto"/>
          <w:sz w:val="22"/>
          <w:szCs w:val="22"/>
          <w:lang w:eastAsia="en-GB"/>
        </w:rPr>
      </w:pPr>
      <w:r w:rsidRPr="003A011A">
        <w:rPr>
          <w:rFonts w:ascii="Calibri" w:eastAsia="SimSun" w:hAnsi="Calibri"/>
          <w:color w:val="auto"/>
          <w:sz w:val="22"/>
          <w:szCs w:val="22"/>
          <w:lang w:eastAsia="en-GB"/>
        </w:rPr>
        <w:t>This is a new indicator that has been developed and validated against high-quality quantitative dietary data</w:t>
      </w:r>
      <w:r w:rsidRPr="003A011A">
        <w:rPr>
          <w:rFonts w:ascii="Calibri" w:eastAsia="Times New Roman" w:hAnsi="Calibri"/>
          <w:color w:val="auto"/>
          <w:sz w:val="22"/>
          <w:szCs w:val="22"/>
          <w:vertAlign w:val="superscript"/>
          <w:lang w:eastAsia="en-GB"/>
        </w:rPr>
        <w:footnoteReference w:id="6"/>
      </w:r>
      <w:r w:rsidRPr="003A011A">
        <w:rPr>
          <w:rFonts w:ascii="Calibri" w:eastAsia="SimSun" w:hAnsi="Calibri"/>
          <w:color w:val="auto"/>
          <w:sz w:val="22"/>
          <w:szCs w:val="22"/>
          <w:lang w:eastAsia="en-GB"/>
        </w:rPr>
        <w:t xml:space="preserve">.  It is not yet regularly reported although similar data on dietary diversity of women have been reported in the past. </w:t>
      </w:r>
    </w:p>
    <w:p w:rsidR="003A011A" w:rsidRPr="003A011A" w:rsidRDefault="003A011A" w:rsidP="003A011A">
      <w:pPr>
        <w:spacing w:after="200" w:line="276" w:lineRule="auto"/>
        <w:ind w:right="-285"/>
        <w:jc w:val="both"/>
        <w:rPr>
          <w:rFonts w:ascii="Calibri" w:eastAsia="SimSun" w:hAnsi="Calibri"/>
          <w:color w:val="auto"/>
          <w:sz w:val="22"/>
          <w:szCs w:val="22"/>
          <w:lang w:eastAsia="en-GB"/>
        </w:rPr>
      </w:pPr>
      <w:r w:rsidRPr="003A011A">
        <w:rPr>
          <w:rFonts w:ascii="Calibri" w:eastAsia="SimSun" w:hAnsi="Calibri"/>
          <w:color w:val="auto"/>
          <w:sz w:val="22"/>
          <w:szCs w:val="22"/>
          <w:lang w:eastAsia="en-GB"/>
        </w:rPr>
        <w:t>Because the indicator was recently developed, there has been no routine data collection until very recently when several USAID programmes have incorporated it into their monitoring and evaluation framework (for Feed the Future and Title II programmes).</w:t>
      </w:r>
    </w:p>
    <w:p w:rsidR="003A011A" w:rsidRPr="003A011A" w:rsidRDefault="003A011A" w:rsidP="003A011A">
      <w:pPr>
        <w:spacing w:after="200" w:line="276" w:lineRule="auto"/>
        <w:ind w:right="-285"/>
        <w:jc w:val="both"/>
        <w:rPr>
          <w:rFonts w:ascii="Calibri" w:eastAsia="SimSun" w:hAnsi="Calibri"/>
          <w:color w:val="auto"/>
          <w:sz w:val="22"/>
          <w:szCs w:val="22"/>
          <w:lang w:eastAsia="en-GB"/>
        </w:rPr>
      </w:pPr>
      <w:r w:rsidRPr="003A011A">
        <w:rPr>
          <w:rFonts w:ascii="Calibri" w:eastAsia="SimSun" w:hAnsi="Calibri"/>
          <w:color w:val="auto"/>
          <w:sz w:val="22"/>
          <w:szCs w:val="22"/>
          <w:lang w:eastAsia="en-GB"/>
        </w:rPr>
        <w:t>Potential data sources include the DHS surveys and the UNICEF MICS.  Representatives from agencies sponsoring these surveys have been engaged in larger stakeholder consultations on the MDD-W. DHS collected women’s dietary diversity data using a previous version of the tool. Other potential sources are national nutrition and health surveys. All of these are conducted on an average of every five years, and global coverage is not attained, however the DHS covers over 90 countries, including most developing countries.</w:t>
      </w:r>
    </w:p>
    <w:p w:rsidR="003A011A" w:rsidRPr="003A011A" w:rsidRDefault="003A011A" w:rsidP="003A011A">
      <w:pPr>
        <w:spacing w:after="200" w:line="276" w:lineRule="auto"/>
        <w:ind w:right="-285"/>
        <w:jc w:val="both"/>
        <w:rPr>
          <w:rFonts w:ascii="Calibri" w:eastAsia="SimSun" w:hAnsi="Calibri"/>
          <w:color w:val="auto"/>
          <w:sz w:val="22"/>
          <w:szCs w:val="22"/>
          <w:lang w:eastAsia="en-GB"/>
        </w:rPr>
      </w:pPr>
      <w:r w:rsidRPr="003A011A">
        <w:rPr>
          <w:rFonts w:ascii="Calibri" w:eastAsia="SimSun" w:hAnsi="Calibri"/>
          <w:color w:val="auto"/>
          <w:sz w:val="22"/>
          <w:szCs w:val="22"/>
          <w:lang w:eastAsia="en-GB"/>
        </w:rPr>
        <w:t>If prioritized and funded, inclusion in large scale surveys such as those mentioned above is feasible.  It is a short module requiring no more than 15 minutes of interview time and calculation of the indicator is simple and straight forward. Upfront costs include a one-time questionnaire adaptation to include local foods and for translation into languages used for questionnaire administration.  Therefore, marginal costs to including the module into an existing survey include the one time questionnaire preparation, and interview and enumerator training time.</w:t>
      </w:r>
    </w:p>
    <w:p w:rsidR="003A011A" w:rsidRPr="003A011A" w:rsidRDefault="003A011A" w:rsidP="003A011A">
      <w:pPr>
        <w:keepNext/>
        <w:numPr>
          <w:ilvl w:val="0"/>
          <w:numId w:val="4"/>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Comment on the reliability, potential coverage, comparability across countries, and the possibility to compute the indicator at sub-national level.</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 xml:space="preserve">Reliability </w:t>
      </w:r>
    </w:p>
    <w:p w:rsidR="003A011A" w:rsidRPr="003A011A" w:rsidRDefault="003A011A" w:rsidP="003A011A">
      <w:pPr>
        <w:spacing w:after="200" w:line="276" w:lineRule="auto"/>
        <w:ind w:right="-285"/>
        <w:jc w:val="both"/>
        <w:rPr>
          <w:rFonts w:ascii="Calibri" w:eastAsia="SimSun" w:hAnsi="Calibri"/>
          <w:color w:val="auto"/>
          <w:sz w:val="22"/>
          <w:szCs w:val="22"/>
          <w:lang w:eastAsia="en-GB"/>
        </w:rPr>
      </w:pPr>
      <w:r w:rsidRPr="003A011A">
        <w:rPr>
          <w:rFonts w:ascii="Calibri" w:eastAsia="SimSun" w:hAnsi="Calibri"/>
          <w:color w:val="auto"/>
          <w:sz w:val="22"/>
          <w:szCs w:val="22"/>
          <w:lang w:eastAsia="en-GB"/>
        </w:rPr>
        <w:t>The precision of the calculated estimates depend on the sample size. With large-scale nationally representative studies, the estimates will reach a good level of precision.</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 xml:space="preserve">Coverage </w:t>
      </w:r>
    </w:p>
    <w:p w:rsidR="003A011A" w:rsidRPr="003A011A" w:rsidRDefault="003A011A" w:rsidP="003A011A">
      <w:pPr>
        <w:spacing w:after="200" w:line="276" w:lineRule="auto"/>
        <w:ind w:right="-285"/>
        <w:jc w:val="both"/>
        <w:rPr>
          <w:rFonts w:ascii="Calibri" w:eastAsia="SimSun" w:hAnsi="Calibri"/>
          <w:color w:val="auto"/>
          <w:sz w:val="22"/>
          <w:szCs w:val="22"/>
          <w:lang w:eastAsia="en-GB"/>
        </w:rPr>
      </w:pPr>
      <w:r w:rsidRPr="003A011A">
        <w:rPr>
          <w:rFonts w:ascii="Calibri" w:eastAsia="SimSun" w:hAnsi="Calibri"/>
          <w:color w:val="auto"/>
          <w:sz w:val="22"/>
          <w:szCs w:val="22"/>
          <w:lang w:eastAsia="en-GB"/>
        </w:rPr>
        <w:t>See the paragraph above on data sources.</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Comparability across countries</w:t>
      </w:r>
    </w:p>
    <w:p w:rsidR="003A011A" w:rsidRPr="003A011A" w:rsidRDefault="003A011A" w:rsidP="003A011A">
      <w:pPr>
        <w:spacing w:after="200" w:line="276" w:lineRule="auto"/>
        <w:ind w:right="-285"/>
        <w:jc w:val="both"/>
        <w:rPr>
          <w:rFonts w:ascii="Calibri" w:eastAsia="SimSun" w:hAnsi="Calibri"/>
          <w:color w:val="auto"/>
          <w:sz w:val="22"/>
          <w:szCs w:val="22"/>
          <w:lang w:eastAsia="en-GB"/>
        </w:rPr>
      </w:pPr>
      <w:r w:rsidRPr="003A011A">
        <w:rPr>
          <w:rFonts w:ascii="Calibri" w:eastAsia="SimSun" w:hAnsi="Calibri"/>
          <w:color w:val="auto"/>
          <w:sz w:val="22"/>
          <w:szCs w:val="22"/>
          <w:lang w:eastAsia="en-GB"/>
        </w:rPr>
        <w:t>While there is no global standard of reference, the concept of food group diversity is globally relevant. All national dietary guidelines stress the importance of varied diets for health and nutrition outcomes (Dwyer, 2012)</w:t>
      </w:r>
      <w:r w:rsidRPr="003A011A">
        <w:rPr>
          <w:rFonts w:ascii="Calibri" w:eastAsia="SimSun" w:hAnsi="Calibri"/>
          <w:color w:val="auto"/>
          <w:sz w:val="22"/>
          <w:szCs w:val="22"/>
          <w:vertAlign w:val="superscript"/>
          <w:lang w:eastAsia="en-GB"/>
        </w:rPr>
        <w:footnoteReference w:id="7"/>
      </w:r>
      <w:r w:rsidRPr="003A011A">
        <w:rPr>
          <w:rFonts w:ascii="Calibri" w:eastAsia="SimSun" w:hAnsi="Calibri"/>
          <w:color w:val="auto"/>
          <w:sz w:val="22"/>
          <w:szCs w:val="22"/>
          <w:lang w:eastAsia="en-GB"/>
        </w:rPr>
        <w:t>.</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 xml:space="preserve">Sub-national estimates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lastRenderedPageBreak/>
        <w:t>Data are collected on individual women. Subnational estimates are possible as long as the survey is representative for specific population groups and/or geographical areas.</w:t>
      </w:r>
    </w:p>
    <w:p w:rsidR="003A011A" w:rsidRPr="003A011A" w:rsidRDefault="003A011A" w:rsidP="003A011A">
      <w:pPr>
        <w:keepNext/>
        <w:numPr>
          <w:ilvl w:val="0"/>
          <w:numId w:val="4"/>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 xml:space="preserve">  Is there already a baseline value for 2015? </w:t>
      </w:r>
    </w:p>
    <w:p w:rsidR="003A011A" w:rsidRPr="003A011A" w:rsidRDefault="003A011A" w:rsidP="003A011A">
      <w:pPr>
        <w:spacing w:after="200" w:line="276" w:lineRule="auto"/>
        <w:ind w:right="-285"/>
        <w:jc w:val="both"/>
        <w:rPr>
          <w:rFonts w:ascii="Calibri" w:eastAsia="SimSun" w:hAnsi="Calibri"/>
          <w:color w:val="auto"/>
          <w:sz w:val="22"/>
          <w:szCs w:val="22"/>
          <w:lang w:eastAsia="en-GB"/>
        </w:rPr>
      </w:pPr>
      <w:r w:rsidRPr="003A011A">
        <w:rPr>
          <w:rFonts w:ascii="Calibri" w:eastAsia="SimSun" w:hAnsi="Calibri"/>
          <w:color w:val="auto"/>
          <w:sz w:val="22"/>
          <w:szCs w:val="22"/>
          <w:lang w:eastAsia="en-GB"/>
        </w:rPr>
        <w:t>In the absence of baseline data, it is difficult to set a meaningful target that is feasible to achieve over a 15 year time horizon.</w:t>
      </w:r>
    </w:p>
    <w:p w:rsidR="003A011A" w:rsidRPr="003A011A" w:rsidRDefault="003A011A" w:rsidP="003A011A">
      <w:pPr>
        <w:spacing w:after="200" w:line="276" w:lineRule="auto"/>
        <w:ind w:right="-285"/>
        <w:jc w:val="both"/>
        <w:rPr>
          <w:rFonts w:ascii="Calibri" w:eastAsia="SimSun" w:hAnsi="Calibri"/>
          <w:color w:val="auto"/>
          <w:sz w:val="22"/>
          <w:szCs w:val="22"/>
          <w:lang w:eastAsia="en-GB"/>
        </w:rPr>
      </w:pPr>
      <w:r w:rsidRPr="003A011A">
        <w:rPr>
          <w:rFonts w:ascii="Calibri" w:eastAsia="SimSun" w:hAnsi="Calibri"/>
          <w:color w:val="auto"/>
          <w:sz w:val="22"/>
          <w:szCs w:val="22"/>
          <w:lang w:eastAsia="en-GB"/>
        </w:rPr>
        <w:t xml:space="preserve">In order to set meaningful targets for tracking progress, it would be desirable to bring together major stakeholders in nutrition and women’s health to reach consensus on setting a meaningful and feasible target for the SDGs. </w:t>
      </w:r>
    </w:p>
    <w:p w:rsidR="003A011A" w:rsidRPr="003A011A" w:rsidRDefault="003A011A" w:rsidP="003A011A">
      <w:pPr>
        <w:spacing w:line="276" w:lineRule="auto"/>
        <w:ind w:right="-285"/>
        <w:jc w:val="both"/>
        <w:rPr>
          <w:rFonts w:ascii="Calibri" w:eastAsia="SimSun" w:hAnsi="Calibri"/>
          <w:color w:val="auto"/>
          <w:sz w:val="22"/>
          <w:szCs w:val="22"/>
          <w:lang w:eastAsia="en-GB"/>
        </w:rPr>
      </w:pPr>
      <w:r w:rsidRPr="003A011A">
        <w:rPr>
          <w:rFonts w:ascii="Calibri" w:eastAsia="SimSun" w:hAnsi="Calibri"/>
          <w:color w:val="auto"/>
          <w:sz w:val="22"/>
          <w:szCs w:val="22"/>
          <w:lang w:eastAsia="en-GB"/>
        </w:rPr>
        <w:t xml:space="preserve">Assembling stakeholders to engage in this process is possible because there is wide support for the inclusion of this indicator in the development goals, as evidenced by the recent policy brief from the Standing Committee on Nutrition available at:  </w:t>
      </w:r>
    </w:p>
    <w:p w:rsidR="003A011A" w:rsidRPr="003A011A" w:rsidRDefault="003A011A" w:rsidP="003A011A">
      <w:pPr>
        <w:spacing w:line="276" w:lineRule="auto"/>
        <w:ind w:right="-285"/>
        <w:jc w:val="both"/>
        <w:rPr>
          <w:rFonts w:ascii="Calibri" w:eastAsia="Times New Roman" w:hAnsi="Calibri"/>
          <w:color w:val="1F497D"/>
          <w:sz w:val="22"/>
          <w:szCs w:val="22"/>
          <w:lang w:eastAsia="en-GB"/>
        </w:rPr>
      </w:pPr>
      <w:hyperlink r:id="rId13" w:tgtFrame="_blank" w:history="1">
        <w:r w:rsidRPr="003A011A">
          <w:rPr>
            <w:rFonts w:ascii="Calibri" w:eastAsia="SimSun" w:hAnsi="Calibri"/>
            <w:color w:val="auto"/>
            <w:sz w:val="22"/>
            <w:szCs w:val="22"/>
            <w:u w:val="single"/>
          </w:rPr>
          <w:t>http://www.unscn.org/files/Publications/Policy_brief_Priority_Nutrition_Indicators_for_the_Post-2015_SDGs.pdf</w:t>
        </w:r>
      </w:hyperlink>
      <w:r w:rsidRPr="003A011A">
        <w:rPr>
          <w:rFonts w:ascii="Calibri" w:eastAsia="SimSun" w:hAnsi="Calibri"/>
          <w:color w:val="auto"/>
          <w:sz w:val="22"/>
          <w:szCs w:val="22"/>
        </w:rPr>
        <w:t xml:space="preserve">. </w:t>
      </w:r>
      <w:r w:rsidRPr="003A011A">
        <w:rPr>
          <w:rFonts w:ascii="Calibri" w:eastAsia="Times New Roman" w:hAnsi="Calibri"/>
          <w:color w:val="auto"/>
          <w:sz w:val="22"/>
          <w:szCs w:val="22"/>
          <w:lang w:eastAsia="en-GB"/>
        </w:rPr>
        <w:t>In the meantime the organizations, institutions and individuals involved in this area will begin a search for available data that may provide input into this process.</w:t>
      </w:r>
      <w:r w:rsidRPr="003A011A">
        <w:rPr>
          <w:rFonts w:ascii="Calibri" w:eastAsia="Times New Roman" w:hAnsi="Calibri"/>
          <w:color w:val="1F497D"/>
          <w:sz w:val="22"/>
          <w:szCs w:val="22"/>
          <w:lang w:eastAsia="en-GB"/>
        </w:rPr>
        <w:t xml:space="preserve"> </w:t>
      </w:r>
    </w:p>
    <w:bookmarkStart w:id="23" w:name="_Target_2.3_“By"/>
    <w:bookmarkStart w:id="24" w:name="_Toc410645242"/>
    <w:bookmarkStart w:id="25" w:name="_Toc410657836"/>
    <w:bookmarkStart w:id="26" w:name="_Toc410890059"/>
    <w:bookmarkStart w:id="27" w:name="Target2_3"/>
    <w:bookmarkStart w:id="28" w:name="_Toc410912474"/>
    <w:bookmarkEnd w:id="23"/>
    <w:p w:rsidR="003A011A" w:rsidRPr="003A011A" w:rsidRDefault="003A011A" w:rsidP="003A011A">
      <w:pPr>
        <w:pageBreakBefore/>
        <w:shd w:val="clear" w:color="auto" w:fill="002060"/>
        <w:spacing w:after="200" w:line="276" w:lineRule="auto"/>
        <w:ind w:right="-285"/>
        <w:jc w:val="center"/>
        <w:outlineLvl w:val="0"/>
        <w:rPr>
          <w:rFonts w:ascii="Calibri" w:eastAsia="SimSun" w:hAnsi="Calibri"/>
          <w:b/>
          <w:color w:val="FFFFFF"/>
        </w:rPr>
      </w:pPr>
      <w:r w:rsidRPr="003A011A">
        <w:rPr>
          <w:rFonts w:ascii="Calibri" w:eastAsia="SimSun" w:hAnsi="Calibri"/>
          <w:b/>
          <w:color w:val="FFFFFF"/>
          <w:shd w:val="clear" w:color="auto" w:fill="BFBFBF"/>
        </w:rPr>
        <w:lastRenderedPageBreak/>
        <w:fldChar w:fldCharType="begin"/>
      </w:r>
      <w:r w:rsidRPr="003A011A">
        <w:rPr>
          <w:rFonts w:ascii="Calibri" w:eastAsia="SimSun" w:hAnsi="Calibri"/>
          <w:color w:val="FFFFFF"/>
          <w:shd w:val="clear" w:color="auto" w:fill="BFBFBF"/>
        </w:rPr>
        <w:instrText xml:space="preserve"> HYPERLINK  \l "List_of_indicators" </w:instrText>
      </w:r>
      <w:r w:rsidRPr="003A011A">
        <w:rPr>
          <w:rFonts w:ascii="Calibri" w:eastAsia="SimSun" w:hAnsi="Calibri"/>
          <w:b/>
          <w:color w:val="FFFFFF"/>
          <w:shd w:val="clear" w:color="auto" w:fill="BFBFBF"/>
        </w:rPr>
        <w:fldChar w:fldCharType="separate"/>
      </w:r>
      <w:r w:rsidRPr="003A011A">
        <w:rPr>
          <w:rFonts w:ascii="Calibri" w:eastAsia="SimSun" w:hAnsi="Calibri"/>
          <w:b/>
          <w:color w:val="FFFFFF"/>
          <w:u w:val="single"/>
        </w:rPr>
        <w:t>Target 2.3</w:t>
      </w:r>
      <w:bookmarkEnd w:id="24"/>
      <w:bookmarkEnd w:id="25"/>
      <w:bookmarkEnd w:id="26"/>
      <w:r w:rsidRPr="003A011A">
        <w:rPr>
          <w:rFonts w:ascii="Calibri" w:eastAsia="SimSun" w:hAnsi="Calibri"/>
          <w:b/>
          <w:color w:val="FFFFFF"/>
          <w:shd w:val="clear" w:color="auto" w:fill="BFBFBF"/>
        </w:rPr>
        <w:fldChar w:fldCharType="end"/>
      </w:r>
      <w:bookmarkEnd w:id="27"/>
      <w:r w:rsidRPr="003A011A">
        <w:rPr>
          <w:rFonts w:ascii="Calibri" w:eastAsia="SimSun" w:hAnsi="Calibri"/>
          <w:b/>
          <w:color w:val="FFFFFF"/>
        </w:rPr>
        <w:br/>
        <w:t>“By 2030, double the agricultural productivity and incomes of small-scale food producers, in particular women, indigenous peoples, family farmers, pastoralists and fishers, including through secure and equal access to land, other productive resources and inputs, knowledge, financial services, markets and opportunities for value addition and non-farm employment”</w:t>
      </w:r>
      <w:bookmarkEnd w:id="28"/>
    </w:p>
    <w:p w:rsidR="003A011A" w:rsidRPr="003A011A" w:rsidRDefault="003A011A" w:rsidP="003A011A">
      <w:pPr>
        <w:spacing w:after="200" w:line="276" w:lineRule="auto"/>
        <w:ind w:right="-285"/>
        <w:jc w:val="both"/>
        <w:rPr>
          <w:rFonts w:ascii="Calibri" w:eastAsia="SimSun" w:hAnsi="Calibri"/>
          <w:i/>
          <w:color w:val="auto"/>
          <w:sz w:val="22"/>
          <w:szCs w:val="22"/>
        </w:rPr>
      </w:pPr>
    </w:p>
    <w:p w:rsidR="003A011A" w:rsidRPr="003A011A" w:rsidRDefault="003A011A" w:rsidP="003A011A">
      <w:pPr>
        <w:spacing w:after="200" w:line="276" w:lineRule="auto"/>
        <w:ind w:right="-285"/>
        <w:jc w:val="both"/>
        <w:rPr>
          <w:rFonts w:ascii="Calibri" w:eastAsia="SimSun" w:hAnsi="Calibri"/>
          <w:i/>
          <w:color w:val="auto"/>
          <w:sz w:val="22"/>
          <w:szCs w:val="22"/>
        </w:rPr>
      </w:pPr>
      <w:r w:rsidRPr="003A011A">
        <w:rPr>
          <w:rFonts w:ascii="Calibri" w:eastAsia="SimSun" w:hAnsi="Calibri"/>
          <w:i/>
          <w:color w:val="auto"/>
          <w:sz w:val="22"/>
          <w:szCs w:val="22"/>
        </w:rPr>
        <w:t>While agricultural productivity broadly defined could be measured, at the aggregate national level, with data available through national account data maintained by OECD and the World Bank, the in the target formulation creates a specific demand for data that can only be obtained through surveys.</w:t>
      </w:r>
    </w:p>
    <w:p w:rsidR="003A011A" w:rsidRPr="003A011A" w:rsidRDefault="003A011A" w:rsidP="003A011A">
      <w:pPr>
        <w:spacing w:after="200" w:line="276" w:lineRule="auto"/>
        <w:ind w:right="-285"/>
        <w:jc w:val="both"/>
        <w:rPr>
          <w:rFonts w:ascii="Calibri" w:eastAsia="SimSun" w:hAnsi="Calibri"/>
          <w:i/>
          <w:color w:val="auto"/>
          <w:sz w:val="22"/>
          <w:szCs w:val="22"/>
        </w:rPr>
      </w:pPr>
      <w:r w:rsidRPr="003A011A">
        <w:rPr>
          <w:rFonts w:ascii="Calibri" w:eastAsia="SimSun" w:hAnsi="Calibri"/>
          <w:i/>
          <w:color w:val="auto"/>
          <w:sz w:val="22"/>
          <w:szCs w:val="22"/>
        </w:rPr>
        <w:t xml:space="preserve">The last two decades have witnessed an increased reliance on </w:t>
      </w:r>
      <w:r w:rsidRPr="003A011A">
        <w:rPr>
          <w:rFonts w:ascii="Calibri" w:eastAsia="SimSun" w:hAnsi="Calibri"/>
          <w:color w:val="auto"/>
          <w:sz w:val="22"/>
          <w:szCs w:val="22"/>
        </w:rPr>
        <w:t xml:space="preserve">household </w:t>
      </w:r>
      <w:r w:rsidRPr="003A011A">
        <w:rPr>
          <w:rFonts w:ascii="Calibri" w:eastAsia="SimSun" w:hAnsi="Calibri"/>
          <w:i/>
          <w:color w:val="auto"/>
          <w:sz w:val="22"/>
          <w:szCs w:val="22"/>
        </w:rPr>
        <w:t xml:space="preserve">surveys, focusing on consumption and living standards indicators, which unfortunately cannot be considered a complete and reliable source of data related to agricultural production and to farmers’ access to productive resources, for which a system of </w:t>
      </w:r>
      <w:r w:rsidRPr="003A011A">
        <w:rPr>
          <w:rFonts w:ascii="Calibri" w:eastAsia="SimSun" w:hAnsi="Calibri"/>
          <w:color w:val="auto"/>
          <w:sz w:val="22"/>
          <w:szCs w:val="22"/>
        </w:rPr>
        <w:t xml:space="preserve">farm </w:t>
      </w:r>
      <w:r w:rsidRPr="003A011A">
        <w:rPr>
          <w:rFonts w:ascii="Calibri" w:eastAsia="SimSun" w:hAnsi="Calibri"/>
          <w:i/>
          <w:color w:val="auto"/>
          <w:sz w:val="22"/>
          <w:szCs w:val="22"/>
        </w:rPr>
        <w:t>surveys would be needed.</w:t>
      </w:r>
    </w:p>
    <w:p w:rsidR="003A011A" w:rsidRPr="003A011A" w:rsidRDefault="003A011A" w:rsidP="003A011A">
      <w:pPr>
        <w:spacing w:after="200" w:line="276" w:lineRule="auto"/>
        <w:ind w:right="-285"/>
        <w:jc w:val="both"/>
        <w:rPr>
          <w:rFonts w:ascii="Calibri" w:eastAsia="SimSun" w:hAnsi="Calibri"/>
          <w:i/>
          <w:color w:val="auto"/>
          <w:sz w:val="22"/>
          <w:szCs w:val="22"/>
        </w:rPr>
      </w:pPr>
      <w:r w:rsidRPr="003A011A">
        <w:rPr>
          <w:rFonts w:ascii="Calibri" w:eastAsia="SimSun" w:hAnsi="Calibri"/>
          <w:i/>
          <w:color w:val="auto"/>
          <w:sz w:val="22"/>
          <w:szCs w:val="22"/>
        </w:rPr>
        <w:t>While some initiatives have been put in place by various development agencies (most notably, the Integrated Surveys in Agriculture project under the World Bank’s Living Standard Measurement Survey and the World Census of Agriculture initiative by FAO) the availability of reliable agricultural production data at farm level is still largely insufficient to cover the monitoring needs for targets that make explicit reference to small-scale producers and to different population groups.</w:t>
      </w:r>
    </w:p>
    <w:p w:rsidR="003A011A" w:rsidRPr="003A011A" w:rsidRDefault="003A011A" w:rsidP="003A011A">
      <w:pPr>
        <w:spacing w:after="200" w:line="276" w:lineRule="auto"/>
        <w:ind w:right="-285"/>
        <w:jc w:val="both"/>
        <w:rPr>
          <w:rFonts w:ascii="Calibri" w:eastAsia="SimSun" w:hAnsi="Calibri"/>
          <w:i/>
          <w:color w:val="auto"/>
          <w:sz w:val="22"/>
          <w:szCs w:val="22"/>
        </w:rPr>
      </w:pPr>
      <w:r w:rsidRPr="003A011A">
        <w:rPr>
          <w:rFonts w:ascii="Calibri" w:eastAsia="SimSun" w:hAnsi="Calibri"/>
          <w:i/>
          <w:color w:val="auto"/>
          <w:sz w:val="22"/>
          <w:szCs w:val="22"/>
        </w:rPr>
        <w:t xml:space="preserve">To respond to this urgent need, concerted actions aimed at promoting the establishment of regular farm surveys through which countries would collect at least a minimum set of core data specifically related to the economic, social and environmental dimensions of the farming sector, using an integrated agricultural and rural development approach.  </w:t>
      </w:r>
    </w:p>
    <w:p w:rsidR="003A011A" w:rsidRPr="003A011A" w:rsidRDefault="003A011A" w:rsidP="003A011A">
      <w:pPr>
        <w:spacing w:after="200" w:line="276" w:lineRule="auto"/>
        <w:ind w:right="-285"/>
        <w:jc w:val="both"/>
        <w:rPr>
          <w:rFonts w:ascii="Calibri" w:eastAsia="SimSun" w:hAnsi="Calibri"/>
          <w:i/>
          <w:color w:val="auto"/>
          <w:sz w:val="22"/>
          <w:szCs w:val="22"/>
        </w:rPr>
      </w:pPr>
      <w:r w:rsidRPr="003A011A">
        <w:rPr>
          <w:rFonts w:ascii="Calibri" w:eastAsia="SimSun" w:hAnsi="Calibri"/>
          <w:i/>
          <w:color w:val="auto"/>
          <w:sz w:val="22"/>
          <w:szCs w:val="22"/>
        </w:rPr>
        <w:t xml:space="preserve">In this respect, the </w:t>
      </w:r>
      <w:r w:rsidRPr="003A011A">
        <w:rPr>
          <w:rFonts w:ascii="Calibri" w:eastAsia="SimSun" w:hAnsi="Calibri"/>
          <w:color w:val="auto"/>
          <w:sz w:val="22"/>
          <w:szCs w:val="22"/>
        </w:rPr>
        <w:t xml:space="preserve">Global Strategy to improve Agricultural and Rural Statistics </w:t>
      </w:r>
      <w:r w:rsidRPr="003A011A">
        <w:rPr>
          <w:rFonts w:ascii="Calibri" w:eastAsia="SimSun" w:hAnsi="Calibri"/>
          <w:i/>
          <w:color w:val="auto"/>
          <w:sz w:val="22"/>
          <w:szCs w:val="22"/>
        </w:rPr>
        <w:t>(a multi donor/multi partner statistical capacity development initiative) is promoting the establishment of an Agricultural and Rural Integrated Survey (AGRIS) model which would ensure availability of the basic data needs to inform several key indicators, including the ones listed below, at a sufficient level of coverage to serve the needs of the global monitoring framework of all the dimensions listed in the Target definition.</w:t>
      </w:r>
    </w:p>
    <w:bookmarkStart w:id="29" w:name="_Indicator_2.3.1_“Value"/>
    <w:bookmarkStart w:id="30" w:name="Indicator2_3_1"/>
    <w:bookmarkStart w:id="31" w:name="_Toc410657837"/>
    <w:bookmarkStart w:id="32" w:name="_Toc410890060"/>
    <w:bookmarkStart w:id="33" w:name="_Toc410912475"/>
    <w:bookmarkEnd w:id="29"/>
    <w:p w:rsidR="003A011A" w:rsidRPr="003A011A" w:rsidRDefault="003A011A" w:rsidP="003A011A">
      <w:pPr>
        <w:pageBreakBefore/>
        <w:shd w:val="clear" w:color="auto" w:fill="99FF99"/>
        <w:spacing w:after="200" w:line="276" w:lineRule="auto"/>
        <w:ind w:right="-285"/>
        <w:jc w:val="center"/>
        <w:outlineLvl w:val="1"/>
        <w:rPr>
          <w:rFonts w:ascii="Calibri" w:eastAsia="SimSun" w:hAnsi="Calibri"/>
          <w:b/>
          <w:color w:val="auto"/>
          <w:shd w:val="clear" w:color="auto" w:fill="F2F2F2"/>
        </w:rPr>
      </w:pPr>
      <w:r w:rsidRPr="003A011A">
        <w:rPr>
          <w:rFonts w:ascii="Calibri" w:eastAsia="SimSun" w:hAnsi="Calibri"/>
          <w:b/>
          <w:color w:val="auto"/>
        </w:rPr>
        <w:lastRenderedPageBreak/>
        <w:fldChar w:fldCharType="begin"/>
      </w:r>
      <w:r w:rsidRPr="003A011A">
        <w:rPr>
          <w:rFonts w:ascii="Calibri" w:eastAsia="SimSun" w:hAnsi="Calibri"/>
          <w:b/>
          <w:color w:val="auto"/>
        </w:rPr>
        <w:instrText xml:space="preserve"> HYPERLINK  \l "List_of_indicators" </w:instrText>
      </w:r>
      <w:r w:rsidRPr="003A011A">
        <w:rPr>
          <w:rFonts w:ascii="Calibri" w:eastAsia="SimSun" w:hAnsi="Calibri"/>
          <w:b/>
          <w:color w:val="auto"/>
        </w:rPr>
        <w:fldChar w:fldCharType="separate"/>
      </w:r>
      <w:r w:rsidRPr="003A011A">
        <w:rPr>
          <w:rFonts w:ascii="Calibri" w:eastAsia="SimSun" w:hAnsi="Calibri"/>
          <w:b/>
          <w:color w:val="auto"/>
        </w:rPr>
        <w:t>Indicator 2.3.1</w:t>
      </w:r>
      <w:r w:rsidRPr="003A011A">
        <w:rPr>
          <w:rFonts w:ascii="Calibri" w:eastAsia="SimSun" w:hAnsi="Calibri"/>
          <w:b/>
          <w:color w:val="auto"/>
        </w:rPr>
        <w:fldChar w:fldCharType="end"/>
      </w:r>
      <w:bookmarkEnd w:id="30"/>
      <w:r w:rsidRPr="003A011A">
        <w:rPr>
          <w:rFonts w:ascii="Calibri" w:eastAsia="SimSun" w:hAnsi="Calibri"/>
          <w:b/>
          <w:color w:val="auto"/>
        </w:rPr>
        <w:br/>
        <w:t>“</w:t>
      </w:r>
      <w:r w:rsidRPr="003A011A">
        <w:rPr>
          <w:rFonts w:ascii="Calibri" w:eastAsia="SimSun" w:hAnsi="Calibri"/>
          <w:color w:val="auto"/>
          <w:shd w:val="clear" w:color="auto" w:fill="99FF99"/>
        </w:rPr>
        <w:t>Value of production per labour unit (measured in constant USD), by classes of farming/pastoral/forestry enterprise size”</w:t>
      </w:r>
      <w:bookmarkEnd w:id="31"/>
      <w:bookmarkEnd w:id="32"/>
      <w:bookmarkEnd w:id="33"/>
    </w:p>
    <w:p w:rsidR="003A011A" w:rsidRPr="003A011A" w:rsidRDefault="003A011A" w:rsidP="003A011A">
      <w:pPr>
        <w:keepNext/>
        <w:spacing w:after="200" w:line="276" w:lineRule="auto"/>
        <w:ind w:left="720" w:right="-285"/>
        <w:jc w:val="both"/>
        <w:outlineLvl w:val="2"/>
        <w:rPr>
          <w:rFonts w:ascii="Calibri" w:eastAsia="SimSun" w:hAnsi="Calibri"/>
          <w:b/>
          <w:color w:val="auto"/>
          <w:sz w:val="22"/>
          <w:szCs w:val="22"/>
        </w:rPr>
      </w:pPr>
    </w:p>
    <w:p w:rsidR="003A011A" w:rsidRPr="003A011A" w:rsidRDefault="003A011A" w:rsidP="003A011A">
      <w:pPr>
        <w:keepNext/>
        <w:numPr>
          <w:ilvl w:val="0"/>
          <w:numId w:val="11"/>
        </w:numPr>
        <w:suppressAutoHyphens/>
        <w:spacing w:after="200" w:line="276" w:lineRule="auto"/>
        <w:ind w:right="-285"/>
        <w:jc w:val="both"/>
        <w:outlineLvl w:val="2"/>
        <w:rPr>
          <w:rFonts w:ascii="Calibri" w:eastAsia="SimSun" w:hAnsi="Calibri"/>
          <w:b/>
          <w:color w:val="auto"/>
          <w:sz w:val="22"/>
          <w:szCs w:val="22"/>
          <w:lang w:val="en-US"/>
        </w:rPr>
      </w:pPr>
      <w:r w:rsidRPr="003A011A">
        <w:rPr>
          <w:rFonts w:ascii="Calibri" w:eastAsia="SimSun" w:hAnsi="Calibri"/>
          <w:b/>
          <w:iCs/>
          <w:color w:val="auto"/>
          <w:sz w:val="22"/>
          <w:szCs w:val="22"/>
          <w:lang w:val="en-US"/>
        </w:rPr>
        <w:t>Precise</w:t>
      </w:r>
      <w:r w:rsidRPr="003A011A">
        <w:rPr>
          <w:rFonts w:ascii="Calibri" w:eastAsia="SimSun" w:hAnsi="Calibri"/>
          <w:b/>
          <w:color w:val="auto"/>
          <w:sz w:val="22"/>
          <w:szCs w:val="22"/>
          <w:lang w:val="en-US"/>
        </w:rPr>
        <w:t xml:space="preserve"> definition of the indicator?</w:t>
      </w:r>
    </w:p>
    <w:p w:rsidR="003A011A" w:rsidRPr="003A011A" w:rsidRDefault="003A011A" w:rsidP="003A011A">
      <w:pPr>
        <w:suppressAutoHyphens/>
        <w:spacing w:after="200" w:line="276" w:lineRule="auto"/>
        <w:ind w:right="-285"/>
        <w:jc w:val="both"/>
        <w:rPr>
          <w:rFonts w:ascii="Calibri" w:eastAsia="SimSun" w:hAnsi="Calibri"/>
          <w:color w:val="00000A"/>
          <w:sz w:val="22"/>
          <w:szCs w:val="22"/>
        </w:rPr>
      </w:pPr>
      <w:r w:rsidRPr="003A011A">
        <w:rPr>
          <w:rFonts w:ascii="Calibri" w:eastAsia="SimSun" w:hAnsi="Calibri"/>
          <w:color w:val="00000A"/>
          <w:sz w:val="22"/>
          <w:szCs w:val="22"/>
        </w:rPr>
        <w:t>The indicator refers to the value of production per labour unit operated by small scale producers in the farming, pastoral and forestry sectors. Data will be produced by classes of enterprise size.</w:t>
      </w:r>
    </w:p>
    <w:p w:rsidR="003A011A" w:rsidRPr="003A011A" w:rsidRDefault="003A011A" w:rsidP="003A011A">
      <w:pPr>
        <w:keepNext/>
        <w:numPr>
          <w:ilvl w:val="0"/>
          <w:numId w:val="3"/>
        </w:numPr>
        <w:suppressAutoHyphens/>
        <w:spacing w:after="200" w:line="276" w:lineRule="auto"/>
        <w:ind w:right="-285"/>
        <w:jc w:val="both"/>
        <w:outlineLvl w:val="2"/>
        <w:rPr>
          <w:rFonts w:ascii="Calibri" w:eastAsia="SimSun" w:hAnsi="Calibri"/>
          <w:b/>
          <w:color w:val="00000A"/>
          <w:sz w:val="22"/>
          <w:szCs w:val="22"/>
        </w:rPr>
      </w:pPr>
      <w:r w:rsidRPr="003A011A">
        <w:rPr>
          <w:rFonts w:ascii="Calibri" w:eastAsia="SimSun" w:hAnsi="Calibri"/>
          <w:b/>
          <w:color w:val="00000A"/>
          <w:sz w:val="22"/>
          <w:szCs w:val="22"/>
        </w:rPr>
        <w:t>How is the indicator linked to the specific TARGET as worded in the OWG report and copied above?</w:t>
      </w:r>
    </w:p>
    <w:p w:rsidR="003A011A" w:rsidRPr="003A011A" w:rsidRDefault="003A011A" w:rsidP="003A011A">
      <w:pPr>
        <w:suppressAutoHyphens/>
        <w:spacing w:after="200" w:line="276" w:lineRule="auto"/>
        <w:ind w:right="-285"/>
        <w:jc w:val="both"/>
        <w:rPr>
          <w:rFonts w:ascii="Calibri" w:eastAsia="SimSun" w:hAnsi="Calibri"/>
          <w:color w:val="00000A"/>
          <w:sz w:val="22"/>
          <w:szCs w:val="22"/>
        </w:rPr>
      </w:pPr>
      <w:r w:rsidRPr="003A011A">
        <w:rPr>
          <w:rFonts w:ascii="Calibri" w:eastAsia="SimSun" w:hAnsi="Calibri"/>
          <w:color w:val="00000A"/>
          <w:sz w:val="22"/>
          <w:szCs w:val="22"/>
        </w:rPr>
        <w:t>The indicator is directly linked with the target’s formulation. An agreed international definition of “small scale producer” in each sector needs to be developed.</w:t>
      </w:r>
    </w:p>
    <w:p w:rsidR="003A011A" w:rsidRPr="003A011A" w:rsidRDefault="003A011A" w:rsidP="003A011A">
      <w:pPr>
        <w:keepNext/>
        <w:numPr>
          <w:ilvl w:val="0"/>
          <w:numId w:val="3"/>
        </w:numPr>
        <w:suppressAutoHyphens/>
        <w:spacing w:after="200" w:line="276" w:lineRule="auto"/>
        <w:ind w:right="-285"/>
        <w:jc w:val="both"/>
        <w:outlineLvl w:val="2"/>
        <w:rPr>
          <w:rFonts w:ascii="Calibri" w:eastAsia="SimSun" w:hAnsi="Calibri"/>
          <w:b/>
          <w:color w:val="00000A"/>
          <w:sz w:val="22"/>
          <w:szCs w:val="22"/>
        </w:rPr>
      </w:pPr>
      <w:r w:rsidRPr="003A011A">
        <w:rPr>
          <w:rFonts w:ascii="Calibri" w:eastAsia="SimSun" w:hAnsi="Calibri"/>
          <w:b/>
          <w:color w:val="00000A"/>
          <w:sz w:val="22"/>
          <w:szCs w:val="22"/>
        </w:rPr>
        <w:t>Does the indicator already exist and is it regularly reported?</w:t>
      </w:r>
    </w:p>
    <w:p w:rsidR="003A011A" w:rsidRPr="003A011A" w:rsidRDefault="003A011A" w:rsidP="003A011A">
      <w:pPr>
        <w:suppressAutoHyphens/>
        <w:spacing w:after="200" w:line="276" w:lineRule="auto"/>
        <w:ind w:right="-285"/>
        <w:jc w:val="both"/>
        <w:rPr>
          <w:rFonts w:ascii="Calibri" w:eastAsia="SimSun" w:hAnsi="Calibri"/>
          <w:color w:val="00000A"/>
          <w:sz w:val="22"/>
          <w:szCs w:val="22"/>
        </w:rPr>
      </w:pPr>
      <w:r w:rsidRPr="003A011A">
        <w:rPr>
          <w:rFonts w:ascii="Calibri" w:eastAsia="SimSun" w:hAnsi="Calibri"/>
          <w:color w:val="00000A"/>
          <w:sz w:val="22"/>
          <w:szCs w:val="22"/>
        </w:rPr>
        <w:t>FAO has been working in producing the indicator for agriculture using household survey data, within its program of work in “</w:t>
      </w:r>
      <w:r w:rsidRPr="003A011A">
        <w:rPr>
          <w:rFonts w:ascii="Calibri" w:eastAsia="SimSun" w:hAnsi="Calibri"/>
          <w:i/>
          <w:color w:val="00000A"/>
          <w:sz w:val="22"/>
          <w:szCs w:val="22"/>
        </w:rPr>
        <w:t>small scale agriculture and development transformation</w:t>
      </w:r>
      <w:r w:rsidRPr="003A011A">
        <w:rPr>
          <w:rFonts w:ascii="Calibri" w:eastAsia="SimSun" w:hAnsi="Calibri"/>
          <w:color w:val="00000A"/>
          <w:sz w:val="22"/>
          <w:szCs w:val="22"/>
        </w:rPr>
        <w:t>”. To date, the indicator can be computed for nine developing countries in Asia, Africa and Latin America, based on data collected with the LSMS-ISA surveys. Results have not been disseminated yet.</w:t>
      </w:r>
    </w:p>
    <w:p w:rsidR="003A011A" w:rsidRPr="003A011A" w:rsidRDefault="003A011A" w:rsidP="003A011A">
      <w:pPr>
        <w:suppressAutoHyphens/>
        <w:spacing w:after="200" w:line="276" w:lineRule="auto"/>
        <w:ind w:right="-285"/>
        <w:jc w:val="both"/>
        <w:rPr>
          <w:rFonts w:ascii="Calibri" w:eastAsia="SimSun" w:hAnsi="Calibri"/>
          <w:color w:val="00000A"/>
          <w:sz w:val="22"/>
          <w:szCs w:val="22"/>
        </w:rPr>
      </w:pPr>
      <w:r w:rsidRPr="003A011A">
        <w:rPr>
          <w:rFonts w:ascii="Calibri" w:eastAsia="SimSun" w:hAnsi="Calibri"/>
          <w:color w:val="00000A"/>
          <w:sz w:val="22"/>
          <w:szCs w:val="22"/>
        </w:rPr>
        <w:t xml:space="preserve">Sources of information would be either agricultural surveys, or agricultural modules in integrated household surveys (e.g., LSMS-ISA) organized by the national statistical agencies, with the necessary support from the World Bank, FAO and other international agencies to ensure methodological rigor. </w:t>
      </w:r>
    </w:p>
    <w:p w:rsidR="003A011A" w:rsidRPr="003A011A" w:rsidRDefault="003A011A" w:rsidP="003A011A">
      <w:pPr>
        <w:suppressAutoHyphens/>
        <w:spacing w:after="200" w:line="276" w:lineRule="auto"/>
        <w:ind w:right="-285"/>
        <w:jc w:val="both"/>
        <w:rPr>
          <w:rFonts w:ascii="Calibri" w:eastAsia="SimSun" w:hAnsi="Calibri"/>
          <w:color w:val="00000A"/>
          <w:sz w:val="22"/>
          <w:szCs w:val="22"/>
        </w:rPr>
      </w:pPr>
      <w:r w:rsidRPr="003A011A">
        <w:rPr>
          <w:rFonts w:ascii="Calibri" w:eastAsia="SimSun" w:hAnsi="Calibri"/>
          <w:color w:val="00000A"/>
          <w:sz w:val="22"/>
          <w:szCs w:val="22"/>
        </w:rPr>
        <w:t xml:space="preserve">FAO Statistics, in collaboration with IFAD and the World Bank, are working towards the establishment of a harmonized program of Agricultural and Rural Integrated Surveys (AGRIS) that could form the basis for the collection of data on this, as well as on several other SDG indicators for the agricultural sector. Through the </w:t>
      </w:r>
      <w:r w:rsidRPr="003A011A">
        <w:rPr>
          <w:rFonts w:ascii="Calibri" w:eastAsia="SimSun" w:hAnsi="Calibri" w:cs="Arial"/>
          <w:color w:val="00000A"/>
          <w:sz w:val="22"/>
          <w:szCs w:val="22"/>
        </w:rPr>
        <w:t xml:space="preserve">AGRIS program, </w:t>
      </w:r>
      <w:r w:rsidRPr="003A011A">
        <w:rPr>
          <w:rFonts w:ascii="Calibri" w:eastAsia="SimSun" w:hAnsi="Calibri"/>
          <w:color w:val="00000A"/>
          <w:sz w:val="22"/>
          <w:szCs w:val="22"/>
        </w:rPr>
        <w:t>methodological guidelines will be provided to countries on how to conduct enterprise surveys in agriculture. A special effort will also be made to support countries in the actual implementation of the farm surveys.</w:t>
      </w:r>
      <w:r w:rsidRPr="003A011A">
        <w:rPr>
          <w:rFonts w:ascii="Calibri" w:eastAsia="SimSun" w:hAnsi="Calibri" w:cs="Arial"/>
          <w:color w:val="00000A"/>
          <w:sz w:val="22"/>
          <w:szCs w:val="22"/>
        </w:rPr>
        <w:t xml:space="preserve"> This project, as well as the partnership with IFAD, the World Bank and the countries themselves, could substantially increase the availability of data to inform this indicator in the future. </w:t>
      </w:r>
    </w:p>
    <w:p w:rsidR="003A011A" w:rsidRPr="003A011A" w:rsidRDefault="003A011A" w:rsidP="003A011A">
      <w:pPr>
        <w:keepNext/>
        <w:numPr>
          <w:ilvl w:val="0"/>
          <w:numId w:val="3"/>
        </w:numPr>
        <w:suppressAutoHyphens/>
        <w:spacing w:after="200" w:line="276" w:lineRule="auto"/>
        <w:ind w:right="-285"/>
        <w:jc w:val="both"/>
        <w:outlineLvl w:val="2"/>
        <w:rPr>
          <w:rFonts w:ascii="Calibri" w:eastAsia="SimSun" w:hAnsi="Calibri"/>
          <w:b/>
          <w:color w:val="00000A"/>
          <w:sz w:val="22"/>
          <w:szCs w:val="22"/>
        </w:rPr>
      </w:pPr>
      <w:r w:rsidRPr="003A011A">
        <w:rPr>
          <w:rFonts w:ascii="Calibri" w:eastAsia="SimSun" w:hAnsi="Calibri"/>
          <w:b/>
          <w:color w:val="00000A"/>
          <w:sz w:val="22"/>
          <w:szCs w:val="22"/>
        </w:rPr>
        <w:t>Comment on the reliability, potential coverage, comparability across countries, and the possibility to compute the indicator at sub-national level.</w:t>
      </w:r>
    </w:p>
    <w:p w:rsidR="003A011A" w:rsidRPr="003A011A" w:rsidRDefault="003A011A" w:rsidP="003A011A">
      <w:pPr>
        <w:suppressAutoHyphens/>
        <w:spacing w:after="200" w:line="276" w:lineRule="auto"/>
        <w:ind w:right="-285"/>
        <w:jc w:val="both"/>
        <w:rPr>
          <w:rFonts w:ascii="Calibri" w:eastAsia="SimSun" w:hAnsi="Calibri"/>
          <w:color w:val="00000A"/>
          <w:sz w:val="22"/>
          <w:szCs w:val="22"/>
          <w:u w:val="single"/>
        </w:rPr>
      </w:pPr>
      <w:r w:rsidRPr="003A011A">
        <w:rPr>
          <w:rFonts w:ascii="Calibri" w:eastAsia="SimSun" w:hAnsi="Calibri"/>
          <w:color w:val="00000A"/>
          <w:sz w:val="22"/>
          <w:szCs w:val="22"/>
          <w:u w:val="single"/>
        </w:rPr>
        <w:t>Reliability</w:t>
      </w:r>
    </w:p>
    <w:p w:rsidR="003A011A" w:rsidRPr="003A011A" w:rsidRDefault="003A011A" w:rsidP="003A011A">
      <w:pPr>
        <w:suppressAutoHyphens/>
        <w:spacing w:after="200" w:line="276" w:lineRule="auto"/>
        <w:ind w:right="-285"/>
        <w:jc w:val="both"/>
        <w:rPr>
          <w:rFonts w:ascii="Calibri" w:eastAsia="SimSun" w:hAnsi="Calibri"/>
          <w:color w:val="00000A"/>
          <w:sz w:val="22"/>
          <w:szCs w:val="22"/>
        </w:rPr>
      </w:pPr>
      <w:r w:rsidRPr="003A011A">
        <w:rPr>
          <w:rFonts w:ascii="Calibri" w:eastAsia="SimSun" w:hAnsi="Calibri"/>
          <w:color w:val="00000A"/>
          <w:sz w:val="22"/>
          <w:szCs w:val="22"/>
        </w:rPr>
        <w:t xml:space="preserve">Reliability and accuracy of the estimates depend on sample size. </w:t>
      </w:r>
    </w:p>
    <w:p w:rsidR="003A011A" w:rsidRPr="003A011A" w:rsidRDefault="003A011A" w:rsidP="003A011A">
      <w:pPr>
        <w:suppressAutoHyphens/>
        <w:spacing w:after="200" w:line="276" w:lineRule="auto"/>
        <w:ind w:right="-285"/>
        <w:jc w:val="both"/>
        <w:rPr>
          <w:rFonts w:ascii="Calibri" w:eastAsia="SimSun" w:hAnsi="Calibri"/>
          <w:color w:val="00000A"/>
          <w:sz w:val="22"/>
          <w:szCs w:val="22"/>
          <w:u w:val="single"/>
        </w:rPr>
      </w:pPr>
      <w:r w:rsidRPr="003A011A">
        <w:rPr>
          <w:rFonts w:ascii="Calibri" w:eastAsia="SimSun" w:hAnsi="Calibri"/>
          <w:color w:val="00000A"/>
          <w:sz w:val="22"/>
          <w:szCs w:val="22"/>
          <w:u w:val="single"/>
        </w:rPr>
        <w:t>Coverage</w:t>
      </w:r>
    </w:p>
    <w:p w:rsidR="003A011A" w:rsidRPr="003A011A" w:rsidRDefault="003A011A" w:rsidP="003A011A">
      <w:pPr>
        <w:suppressAutoHyphens/>
        <w:spacing w:after="200" w:line="276" w:lineRule="auto"/>
        <w:ind w:right="-285"/>
        <w:jc w:val="both"/>
        <w:rPr>
          <w:rFonts w:ascii="Calibri" w:eastAsia="SimSun" w:hAnsi="Calibri"/>
          <w:color w:val="00000A"/>
          <w:sz w:val="22"/>
          <w:szCs w:val="22"/>
        </w:rPr>
      </w:pPr>
      <w:r w:rsidRPr="003A011A">
        <w:rPr>
          <w:rFonts w:ascii="Calibri" w:eastAsia="SimSun" w:hAnsi="Calibri"/>
          <w:color w:val="00000A"/>
          <w:sz w:val="22"/>
          <w:szCs w:val="22"/>
        </w:rPr>
        <w:t>Data collection or data sharing might be difficult in some countries (i.e. countries at war etc.). In general, due to the relatively high cost, a periodicity of 3-5 year is advisable.</w:t>
      </w:r>
    </w:p>
    <w:p w:rsidR="003A011A" w:rsidRPr="003A011A" w:rsidRDefault="003A011A" w:rsidP="003A011A">
      <w:pPr>
        <w:suppressAutoHyphens/>
        <w:spacing w:after="200" w:line="276" w:lineRule="auto"/>
        <w:ind w:right="-285"/>
        <w:jc w:val="both"/>
        <w:rPr>
          <w:rFonts w:ascii="Calibri" w:eastAsia="SimSun" w:hAnsi="Calibri"/>
          <w:color w:val="00000A"/>
          <w:sz w:val="22"/>
          <w:szCs w:val="22"/>
        </w:rPr>
      </w:pPr>
    </w:p>
    <w:p w:rsidR="003A011A" w:rsidRPr="003A011A" w:rsidRDefault="003A011A" w:rsidP="003A011A">
      <w:pPr>
        <w:suppressAutoHyphens/>
        <w:spacing w:after="200" w:line="276" w:lineRule="auto"/>
        <w:ind w:right="-285"/>
        <w:jc w:val="both"/>
        <w:rPr>
          <w:rFonts w:ascii="Calibri" w:eastAsia="SimSun" w:hAnsi="Calibri"/>
          <w:color w:val="00000A"/>
          <w:sz w:val="22"/>
          <w:szCs w:val="22"/>
          <w:u w:val="single"/>
        </w:rPr>
      </w:pPr>
      <w:r w:rsidRPr="003A011A">
        <w:rPr>
          <w:rFonts w:ascii="Calibri" w:eastAsia="SimSun" w:hAnsi="Calibri"/>
          <w:color w:val="00000A"/>
          <w:sz w:val="22"/>
          <w:szCs w:val="22"/>
          <w:u w:val="single"/>
        </w:rPr>
        <w:lastRenderedPageBreak/>
        <w:t>Sub-national estimates</w:t>
      </w:r>
    </w:p>
    <w:p w:rsidR="003A011A" w:rsidRPr="003A011A" w:rsidRDefault="003A011A" w:rsidP="003A011A">
      <w:pPr>
        <w:suppressAutoHyphens/>
        <w:spacing w:after="200" w:line="276" w:lineRule="auto"/>
        <w:ind w:right="-285"/>
        <w:jc w:val="both"/>
        <w:rPr>
          <w:rFonts w:ascii="Calibri" w:eastAsia="SimSun" w:hAnsi="Calibri"/>
          <w:color w:val="00000A"/>
          <w:sz w:val="22"/>
          <w:szCs w:val="22"/>
        </w:rPr>
      </w:pPr>
      <w:r w:rsidRPr="003A011A">
        <w:rPr>
          <w:rFonts w:ascii="Calibri" w:eastAsia="SimSun" w:hAnsi="Calibri"/>
          <w:color w:val="00000A"/>
          <w:sz w:val="22"/>
          <w:szCs w:val="22"/>
        </w:rPr>
        <w:t>As long as farm or household level data are available, the indicator can be computed for specific population groups and geographical areas. The granularity of data disaggregation depends on the sample design and sample size in each specific country, but, in general, data can be tabulated by size of the farm, gender and age of the enterprise manager, etc.</w:t>
      </w:r>
    </w:p>
    <w:p w:rsidR="003A011A" w:rsidRPr="003A011A" w:rsidRDefault="003A011A" w:rsidP="003A011A">
      <w:pPr>
        <w:suppressAutoHyphens/>
        <w:spacing w:after="200" w:line="276" w:lineRule="auto"/>
        <w:ind w:right="-285"/>
        <w:jc w:val="both"/>
        <w:rPr>
          <w:rFonts w:ascii="Calibri" w:eastAsia="SimSun" w:hAnsi="Calibri"/>
          <w:color w:val="00000A"/>
          <w:sz w:val="22"/>
          <w:szCs w:val="22"/>
          <w:u w:val="single"/>
        </w:rPr>
      </w:pPr>
      <w:r w:rsidRPr="003A011A">
        <w:rPr>
          <w:rFonts w:ascii="Calibri" w:eastAsia="SimSun" w:hAnsi="Calibri"/>
          <w:color w:val="00000A"/>
          <w:sz w:val="22"/>
          <w:szCs w:val="22"/>
          <w:u w:val="single"/>
        </w:rPr>
        <w:t>Comparability</w:t>
      </w:r>
    </w:p>
    <w:p w:rsidR="003A011A" w:rsidRPr="003A011A" w:rsidRDefault="003A011A" w:rsidP="003A011A">
      <w:pPr>
        <w:suppressAutoHyphens/>
        <w:spacing w:after="200" w:line="276" w:lineRule="auto"/>
        <w:ind w:right="-285"/>
        <w:jc w:val="both"/>
        <w:rPr>
          <w:rFonts w:ascii="Calibri" w:eastAsia="SimSun" w:hAnsi="Calibri"/>
          <w:color w:val="00000A"/>
          <w:sz w:val="22"/>
          <w:szCs w:val="22"/>
        </w:rPr>
      </w:pPr>
      <w:r w:rsidRPr="003A011A">
        <w:rPr>
          <w:rFonts w:ascii="Calibri" w:eastAsia="SimSun" w:hAnsi="Calibri"/>
          <w:color w:val="00000A"/>
          <w:sz w:val="22"/>
          <w:szCs w:val="22"/>
        </w:rPr>
        <w:t xml:space="preserve">International comparability of the estimates depends on the adoption international standards. A crucial issue to be addressed concerns the appropriate definition of “small scale” producer based on the relevant concept of the economic size of the enterprise in each sector. </w:t>
      </w:r>
    </w:p>
    <w:p w:rsidR="003A011A" w:rsidRPr="003A011A" w:rsidRDefault="003A011A" w:rsidP="003A011A">
      <w:pPr>
        <w:keepNext/>
        <w:numPr>
          <w:ilvl w:val="0"/>
          <w:numId w:val="3"/>
        </w:numPr>
        <w:suppressAutoHyphens/>
        <w:spacing w:after="200" w:line="276" w:lineRule="auto"/>
        <w:ind w:right="-285"/>
        <w:jc w:val="both"/>
        <w:outlineLvl w:val="2"/>
        <w:rPr>
          <w:rFonts w:ascii="Calibri" w:eastAsia="SimSun" w:hAnsi="Calibri"/>
          <w:b/>
          <w:color w:val="00000A"/>
          <w:sz w:val="22"/>
          <w:szCs w:val="22"/>
        </w:rPr>
      </w:pPr>
      <w:r w:rsidRPr="003A011A">
        <w:rPr>
          <w:rFonts w:ascii="Calibri" w:eastAsia="SimSun" w:hAnsi="Calibri"/>
          <w:b/>
          <w:color w:val="00000A"/>
          <w:sz w:val="22"/>
          <w:szCs w:val="22"/>
        </w:rPr>
        <w:t>Is there already a baseline value for 2015?</w:t>
      </w:r>
    </w:p>
    <w:p w:rsidR="003A011A" w:rsidRPr="003A011A" w:rsidRDefault="003A011A" w:rsidP="003A011A">
      <w:pPr>
        <w:suppressAutoHyphens/>
        <w:spacing w:after="200" w:line="276" w:lineRule="auto"/>
        <w:ind w:right="-285"/>
        <w:jc w:val="both"/>
        <w:rPr>
          <w:rFonts w:ascii="Calibri" w:eastAsia="SimSun" w:hAnsi="Calibri"/>
          <w:color w:val="00000A"/>
          <w:sz w:val="22"/>
          <w:szCs w:val="22"/>
        </w:rPr>
      </w:pPr>
      <w:r w:rsidRPr="003A011A">
        <w:rPr>
          <w:rFonts w:ascii="Calibri" w:eastAsia="SimSun" w:hAnsi="Calibri"/>
          <w:color w:val="00000A"/>
          <w:sz w:val="22"/>
          <w:szCs w:val="22"/>
        </w:rPr>
        <w:t>A baseline value for 2015 can be established only for a limited number of countries. A global data collection initiative needs to be launched to ensure progressively broader country coverage of the indicator.</w:t>
      </w:r>
    </w:p>
    <w:p w:rsidR="003A011A" w:rsidRPr="003A011A" w:rsidRDefault="003A011A" w:rsidP="003A011A">
      <w:pPr>
        <w:suppressAutoHyphens/>
        <w:spacing w:after="200" w:line="276" w:lineRule="auto"/>
        <w:ind w:right="-285"/>
        <w:jc w:val="both"/>
        <w:rPr>
          <w:rFonts w:ascii="Calibri" w:eastAsia="SimSun" w:hAnsi="Calibri"/>
          <w:color w:val="00000A"/>
          <w:sz w:val="22"/>
          <w:szCs w:val="22"/>
        </w:rPr>
      </w:pPr>
      <w:r w:rsidRPr="003A011A">
        <w:rPr>
          <w:rFonts w:ascii="Calibri" w:eastAsia="SimSun" w:hAnsi="Calibri"/>
          <w:color w:val="00000A"/>
          <w:sz w:val="22"/>
          <w:szCs w:val="22"/>
        </w:rPr>
        <w:t xml:space="preserve">The target of </w:t>
      </w:r>
      <w:r w:rsidRPr="003A011A">
        <w:rPr>
          <w:rFonts w:ascii="Calibri" w:eastAsia="SimSun" w:hAnsi="Calibri"/>
          <w:color w:val="00000A"/>
          <w:sz w:val="22"/>
          <w:szCs w:val="22"/>
          <w:u w:val="single"/>
        </w:rPr>
        <w:t>doubling</w:t>
      </w:r>
      <w:r w:rsidRPr="003A011A">
        <w:rPr>
          <w:rFonts w:ascii="Calibri" w:eastAsia="SimSun" w:hAnsi="Calibri"/>
          <w:color w:val="00000A"/>
          <w:sz w:val="22"/>
          <w:szCs w:val="22"/>
        </w:rPr>
        <w:t xml:space="preserve"> the productivity of small scale producers may be more difficult to achieve (or relevant) for developed countries, given that their productivity may already be relatively high.</w:t>
      </w:r>
    </w:p>
    <w:p w:rsidR="003A011A" w:rsidRPr="003A011A" w:rsidRDefault="003A011A" w:rsidP="003A011A">
      <w:pPr>
        <w:suppressAutoHyphens/>
        <w:spacing w:after="200" w:line="276" w:lineRule="auto"/>
        <w:ind w:right="-285"/>
        <w:jc w:val="both"/>
        <w:rPr>
          <w:rFonts w:ascii="Calibri" w:eastAsia="SimSun" w:hAnsi="Calibri"/>
          <w:color w:val="00000A"/>
          <w:sz w:val="22"/>
          <w:szCs w:val="22"/>
        </w:rPr>
      </w:pPr>
      <w:r w:rsidRPr="003A011A">
        <w:rPr>
          <w:rFonts w:ascii="Calibri" w:eastAsia="SimSun" w:hAnsi="Calibri"/>
          <w:color w:val="00000A"/>
          <w:sz w:val="22"/>
          <w:szCs w:val="22"/>
        </w:rPr>
        <w:t>Its achievement in developing countries depends on a number of factors (e.g. investment in irrigation, machineries and new farming practices) that may improve labour productivity of small scale enterprises. In addition good governance and appropriate policies to promote agriculture and rural development can increase the chances that the target is reached, including by creating employment opportunities in other sectors to absorb excess supply of labour in agriculture.</w:t>
      </w:r>
    </w:p>
    <w:p w:rsidR="003A011A" w:rsidRPr="003A011A" w:rsidRDefault="003A011A" w:rsidP="003A011A">
      <w:pPr>
        <w:spacing w:after="200" w:line="276" w:lineRule="auto"/>
        <w:ind w:right="-285"/>
        <w:jc w:val="both"/>
        <w:rPr>
          <w:rFonts w:ascii="Calibri" w:eastAsia="SimSun" w:hAnsi="Calibri"/>
          <w:color w:val="auto"/>
          <w:sz w:val="22"/>
          <w:szCs w:val="22"/>
        </w:rPr>
      </w:pPr>
    </w:p>
    <w:bookmarkStart w:id="34" w:name="_Target_2.4_“By"/>
    <w:bookmarkStart w:id="35" w:name="_Toc410645243"/>
    <w:bookmarkStart w:id="36" w:name="_Toc410657838"/>
    <w:bookmarkStart w:id="37" w:name="_Toc410890061"/>
    <w:bookmarkStart w:id="38" w:name="Target2_4"/>
    <w:bookmarkStart w:id="39" w:name="_Toc410912476"/>
    <w:bookmarkEnd w:id="34"/>
    <w:p w:rsidR="003A011A" w:rsidRPr="003A011A" w:rsidRDefault="003A011A" w:rsidP="003A011A">
      <w:pPr>
        <w:pageBreakBefore/>
        <w:shd w:val="clear" w:color="auto" w:fill="002060"/>
        <w:spacing w:after="200" w:line="276" w:lineRule="auto"/>
        <w:ind w:right="-285"/>
        <w:jc w:val="center"/>
        <w:outlineLvl w:val="0"/>
        <w:rPr>
          <w:rFonts w:ascii="Calibri" w:eastAsia="SimSun" w:hAnsi="Calibri"/>
          <w:b/>
          <w:color w:val="FFFFFF"/>
        </w:rPr>
      </w:pPr>
      <w:r w:rsidRPr="003A011A">
        <w:rPr>
          <w:rFonts w:ascii="Calibri" w:eastAsia="SimSun" w:hAnsi="Calibri"/>
          <w:b/>
          <w:color w:val="FFFFFF"/>
          <w:shd w:val="clear" w:color="auto" w:fill="BFBFBF"/>
        </w:rPr>
        <w:lastRenderedPageBreak/>
        <w:fldChar w:fldCharType="begin"/>
      </w:r>
      <w:r w:rsidRPr="003A011A">
        <w:rPr>
          <w:rFonts w:ascii="Calibri" w:eastAsia="SimSun" w:hAnsi="Calibri"/>
          <w:color w:val="FFFFFF"/>
          <w:shd w:val="clear" w:color="auto" w:fill="BFBFBF"/>
        </w:rPr>
        <w:instrText xml:space="preserve"> HYPERLINK  \l "List_of_indicators" </w:instrText>
      </w:r>
      <w:r w:rsidRPr="003A011A">
        <w:rPr>
          <w:rFonts w:ascii="Calibri" w:eastAsia="SimSun" w:hAnsi="Calibri"/>
          <w:b/>
          <w:color w:val="FFFFFF"/>
          <w:shd w:val="clear" w:color="auto" w:fill="BFBFBF"/>
        </w:rPr>
        <w:fldChar w:fldCharType="separate"/>
      </w:r>
      <w:r w:rsidRPr="003A011A">
        <w:rPr>
          <w:rFonts w:ascii="Calibri" w:eastAsia="SimSun" w:hAnsi="Calibri"/>
          <w:b/>
          <w:color w:val="FFFFFF"/>
          <w:u w:val="single"/>
        </w:rPr>
        <w:t>Target 2.4</w:t>
      </w:r>
      <w:bookmarkEnd w:id="35"/>
      <w:bookmarkEnd w:id="36"/>
      <w:bookmarkEnd w:id="37"/>
      <w:r w:rsidRPr="003A011A">
        <w:rPr>
          <w:rFonts w:ascii="Calibri" w:eastAsia="SimSun" w:hAnsi="Calibri"/>
          <w:b/>
          <w:color w:val="FFFFFF"/>
          <w:shd w:val="clear" w:color="auto" w:fill="BFBFBF"/>
        </w:rPr>
        <w:fldChar w:fldCharType="end"/>
      </w:r>
      <w:r w:rsidRPr="003A011A">
        <w:rPr>
          <w:rFonts w:ascii="Calibri" w:eastAsia="SimSun" w:hAnsi="Calibri"/>
          <w:b/>
          <w:color w:val="FFFFFF"/>
        </w:rPr>
        <w:br/>
      </w:r>
      <w:bookmarkEnd w:id="38"/>
      <w:r w:rsidRPr="003A011A">
        <w:rPr>
          <w:rFonts w:ascii="Calibri" w:eastAsia="SimSun" w:hAnsi="Calibri"/>
          <w:b/>
          <w:color w:val="FFFFFF"/>
        </w:rPr>
        <w:t>“By 2030, ensure sustainable food production systems and implement resilient agricultural practices that increase productivity and production, that help maintain ecosystems, that strengthen capacity for adaptation to climate change, extreme weather, drought, flooding and other disasters and that progressively improve land and soil quality”</w:t>
      </w:r>
      <w:bookmarkEnd w:id="39"/>
    </w:p>
    <w:p w:rsidR="003A011A" w:rsidRPr="003A011A" w:rsidRDefault="003A011A" w:rsidP="003A011A">
      <w:pPr>
        <w:suppressAutoHyphens/>
        <w:spacing w:after="200" w:line="276" w:lineRule="auto"/>
        <w:rPr>
          <w:rFonts w:eastAsia="SimSun" w:cs="Calibri"/>
          <w:color w:val="00000A"/>
          <w:sz w:val="12"/>
          <w:szCs w:val="22"/>
        </w:rPr>
      </w:pPr>
    </w:p>
    <w:p w:rsidR="003A011A" w:rsidRPr="003A011A" w:rsidRDefault="003A011A" w:rsidP="003A011A">
      <w:pPr>
        <w:shd w:val="clear" w:color="auto" w:fill="99FF99"/>
        <w:suppressAutoHyphens/>
        <w:spacing w:after="200" w:line="276" w:lineRule="auto"/>
        <w:ind w:right="-285"/>
        <w:jc w:val="center"/>
        <w:rPr>
          <w:rFonts w:ascii="Calibri" w:eastAsia="SimSun" w:hAnsi="Calibri"/>
          <w:b/>
          <w:color w:val="auto"/>
        </w:rPr>
      </w:pPr>
      <w:bookmarkStart w:id="40" w:name="Indicator2_4_1"/>
      <w:r w:rsidRPr="003A011A">
        <w:rPr>
          <w:rFonts w:ascii="Calibri" w:eastAsia="SimSun" w:hAnsi="Calibri"/>
          <w:b/>
          <w:color w:val="auto"/>
        </w:rPr>
        <w:t>Indicator 2.4.1</w:t>
      </w:r>
      <w:bookmarkEnd w:id="40"/>
      <w:r w:rsidRPr="003A011A">
        <w:rPr>
          <w:rFonts w:ascii="Calibri" w:eastAsia="SimSun" w:hAnsi="Calibri"/>
          <w:b/>
          <w:color w:val="auto"/>
        </w:rPr>
        <w:br/>
        <w:t>“</w:t>
      </w:r>
      <w:r w:rsidRPr="003A011A">
        <w:rPr>
          <w:rFonts w:ascii="Calibri" w:eastAsia="SimSun" w:hAnsi="Calibri"/>
          <w:color w:val="auto"/>
        </w:rPr>
        <w:t>Percentage of agricultural area under sustainable agricultural practices”</w:t>
      </w:r>
    </w:p>
    <w:p w:rsidR="003A011A" w:rsidRPr="003A011A" w:rsidRDefault="003A011A" w:rsidP="003A011A">
      <w:pPr>
        <w:spacing w:after="200" w:line="276" w:lineRule="auto"/>
        <w:ind w:left="720"/>
        <w:rPr>
          <w:rFonts w:ascii="Calibri" w:eastAsia="Times New Roman" w:hAnsi="Calibri" w:cs="Calibri"/>
          <w:b/>
          <w:bCs/>
          <w:color w:val="00000A"/>
          <w:sz w:val="6"/>
          <w:szCs w:val="22"/>
        </w:rPr>
      </w:pPr>
    </w:p>
    <w:p w:rsidR="003A011A" w:rsidRPr="003A011A" w:rsidRDefault="003A011A" w:rsidP="003A011A">
      <w:pPr>
        <w:keepNext/>
        <w:numPr>
          <w:ilvl w:val="0"/>
          <w:numId w:val="10"/>
        </w:numPr>
        <w:suppressAutoHyphens/>
        <w:spacing w:after="200" w:line="276" w:lineRule="auto"/>
        <w:jc w:val="both"/>
        <w:outlineLvl w:val="2"/>
        <w:rPr>
          <w:rFonts w:ascii="Calibri" w:eastAsia="Times New Roman" w:hAnsi="Calibri"/>
          <w:b/>
          <w:bCs/>
          <w:color w:val="auto"/>
          <w:sz w:val="22"/>
          <w:szCs w:val="22"/>
        </w:rPr>
      </w:pPr>
      <w:r w:rsidRPr="003A011A">
        <w:rPr>
          <w:rFonts w:ascii="Calibri" w:eastAsia="Times New Roman" w:hAnsi="Calibri"/>
          <w:b/>
          <w:bCs/>
          <w:color w:val="auto"/>
          <w:sz w:val="22"/>
          <w:szCs w:val="22"/>
        </w:rPr>
        <w:t xml:space="preserve">What is the </w:t>
      </w:r>
      <w:r w:rsidRPr="003A011A">
        <w:rPr>
          <w:rFonts w:ascii="Calibri" w:eastAsia="Times New Roman" w:hAnsi="Calibri"/>
          <w:b/>
          <w:bCs/>
          <w:i/>
          <w:iCs/>
          <w:color w:val="auto"/>
          <w:sz w:val="22"/>
          <w:szCs w:val="22"/>
        </w:rPr>
        <w:t>precise</w:t>
      </w:r>
      <w:r w:rsidRPr="003A011A">
        <w:rPr>
          <w:rFonts w:ascii="Calibri" w:eastAsia="Times New Roman" w:hAnsi="Calibri"/>
          <w:b/>
          <w:bCs/>
          <w:color w:val="auto"/>
          <w:sz w:val="22"/>
          <w:szCs w:val="22"/>
        </w:rPr>
        <w:t xml:space="preserve"> definition of the indicator?</w:t>
      </w:r>
    </w:p>
    <w:p w:rsidR="003A011A" w:rsidRPr="003A011A" w:rsidRDefault="003A011A" w:rsidP="003A011A">
      <w:pPr>
        <w:suppressAutoHyphens/>
        <w:spacing w:after="200" w:line="276" w:lineRule="auto"/>
        <w:jc w:val="both"/>
        <w:rPr>
          <w:rFonts w:ascii="Calibri" w:eastAsia="SimSun" w:hAnsi="Calibri" w:cs="Calibri"/>
          <w:color w:val="00000A"/>
          <w:sz w:val="22"/>
          <w:szCs w:val="22"/>
        </w:rPr>
      </w:pPr>
      <w:r w:rsidRPr="003A011A">
        <w:rPr>
          <w:rFonts w:ascii="Calibri" w:eastAsia="SimSun" w:hAnsi="Calibri" w:cs="Calibri"/>
          <w:color w:val="00000A"/>
          <w:sz w:val="22"/>
          <w:szCs w:val="22"/>
        </w:rPr>
        <w:t>The indicator is defined by the following formula:</w:t>
      </w:r>
    </w:p>
    <w:p w:rsidR="003A011A" w:rsidRPr="003A011A" w:rsidRDefault="003A011A" w:rsidP="003A011A">
      <w:pPr>
        <w:suppressAutoHyphens/>
        <w:spacing w:line="276" w:lineRule="auto"/>
        <w:jc w:val="both"/>
        <w:rPr>
          <w:rFonts w:ascii="Calibri" w:eastAsia="SimSun" w:hAnsi="Calibri" w:cs="Calibri"/>
          <w:color w:val="00000A"/>
          <w:sz w:val="22"/>
          <w:szCs w:val="22"/>
        </w:rPr>
      </w:pPr>
      <w:r w:rsidRPr="003A011A">
        <w:rPr>
          <w:rFonts w:ascii="Calibri" w:eastAsia="SimSun" w:hAnsi="Calibri" w:cs="Calibri"/>
          <w:color w:val="00000A"/>
          <w:sz w:val="22"/>
          <w:szCs w:val="22"/>
        </w:rPr>
        <w:t xml:space="preserve">A= area on which are conducted practices contributing to environmental sustainability </w:t>
      </w:r>
      <w:proofErr w:type="gramStart"/>
      <w:r w:rsidRPr="003A011A">
        <w:rPr>
          <w:rFonts w:ascii="Calibri" w:eastAsia="SimSun" w:hAnsi="Calibri" w:cs="Calibri"/>
          <w:color w:val="00000A"/>
          <w:sz w:val="22"/>
          <w:szCs w:val="22"/>
        </w:rPr>
        <w:t>of  agriculture</w:t>
      </w:r>
      <w:proofErr w:type="gramEnd"/>
      <w:r w:rsidRPr="003A011A">
        <w:rPr>
          <w:rFonts w:ascii="Calibri" w:eastAsia="SimSun" w:hAnsi="Calibri" w:cs="Calibri"/>
          <w:color w:val="00000A"/>
          <w:sz w:val="22"/>
          <w:szCs w:val="22"/>
        </w:rPr>
        <w:t xml:space="preserve"> / agricultural area</w:t>
      </w:r>
    </w:p>
    <w:p w:rsidR="003A011A" w:rsidRPr="003A011A" w:rsidRDefault="003A011A" w:rsidP="003A011A">
      <w:pPr>
        <w:suppressAutoHyphens/>
        <w:spacing w:line="276" w:lineRule="auto"/>
        <w:jc w:val="both"/>
        <w:rPr>
          <w:rFonts w:ascii="Calibri" w:eastAsia="SimSun" w:hAnsi="Calibri" w:cs="Calibri"/>
          <w:color w:val="00000A"/>
          <w:sz w:val="6"/>
          <w:szCs w:val="22"/>
        </w:rPr>
      </w:pPr>
    </w:p>
    <w:p w:rsidR="003A011A" w:rsidRPr="003A011A" w:rsidRDefault="003A011A" w:rsidP="003A011A">
      <w:pPr>
        <w:suppressAutoHyphens/>
        <w:spacing w:line="276" w:lineRule="auto"/>
        <w:jc w:val="both"/>
        <w:rPr>
          <w:rFonts w:ascii="Calibri" w:eastAsia="SimSun" w:hAnsi="Calibri" w:cs="Calibri"/>
          <w:color w:val="00000A"/>
          <w:sz w:val="22"/>
          <w:szCs w:val="22"/>
        </w:rPr>
      </w:pPr>
      <w:r w:rsidRPr="003A011A">
        <w:rPr>
          <w:rFonts w:ascii="Calibri" w:eastAsia="SimSun" w:hAnsi="Calibri" w:cs="Calibri"/>
          <w:color w:val="00000A"/>
          <w:sz w:val="22"/>
          <w:szCs w:val="22"/>
        </w:rPr>
        <w:t>Where</w:t>
      </w:r>
    </w:p>
    <w:p w:rsidR="003A011A" w:rsidRPr="003A011A" w:rsidRDefault="003A011A" w:rsidP="003A011A">
      <w:pPr>
        <w:suppressAutoHyphens/>
        <w:spacing w:line="276" w:lineRule="auto"/>
        <w:jc w:val="both"/>
        <w:rPr>
          <w:rFonts w:ascii="Calibri" w:eastAsia="SimSun" w:hAnsi="Calibri" w:cs="Calibri"/>
          <w:color w:val="00000A"/>
          <w:sz w:val="8"/>
          <w:szCs w:val="22"/>
        </w:rPr>
      </w:pPr>
    </w:p>
    <w:p w:rsidR="003A011A" w:rsidRPr="003A011A" w:rsidRDefault="003A011A" w:rsidP="003A011A">
      <w:pPr>
        <w:suppressAutoHyphens/>
        <w:spacing w:after="200" w:line="276" w:lineRule="auto"/>
        <w:jc w:val="both"/>
        <w:rPr>
          <w:rFonts w:ascii="Calibri" w:eastAsia="SimSun" w:hAnsi="Calibri" w:cs="Calibri"/>
          <w:color w:val="00000A"/>
          <w:sz w:val="22"/>
          <w:szCs w:val="22"/>
        </w:rPr>
      </w:pPr>
      <w:r w:rsidRPr="003A011A">
        <w:rPr>
          <w:rFonts w:ascii="Calibri" w:eastAsia="SimSun" w:hAnsi="Calibri" w:cs="Calibri"/>
          <w:color w:val="00000A"/>
          <w:sz w:val="22"/>
          <w:szCs w:val="22"/>
        </w:rPr>
        <w:t>Agricultural Area = Arable land and Permanent crops + Permanent meadows and pastures (FAOSTAT)</w:t>
      </w:r>
    </w:p>
    <w:p w:rsidR="003A011A" w:rsidRPr="003A011A" w:rsidRDefault="003A011A" w:rsidP="003A011A">
      <w:pPr>
        <w:suppressAutoHyphens/>
        <w:spacing w:after="200" w:line="276" w:lineRule="auto"/>
        <w:jc w:val="both"/>
        <w:rPr>
          <w:rFonts w:ascii="Calibri" w:eastAsia="SimSun" w:hAnsi="Calibri" w:cs="Calibri"/>
          <w:color w:val="00000A"/>
          <w:sz w:val="22"/>
          <w:szCs w:val="22"/>
        </w:rPr>
      </w:pPr>
      <w:r w:rsidRPr="003A011A">
        <w:rPr>
          <w:rFonts w:ascii="Calibri" w:eastAsia="SimSun" w:hAnsi="Calibri" w:cs="Calibri"/>
          <w:color w:val="00000A"/>
          <w:sz w:val="22"/>
          <w:szCs w:val="22"/>
        </w:rPr>
        <w:t xml:space="preserve">Area on which are conducted practices contributing to environmental sustainability of  agriculture = the surface area identified and/or acknowledged by the government as being affected by agronomic activities and practices that contribute to environmental sustainability of agriculture. </w:t>
      </w:r>
    </w:p>
    <w:p w:rsidR="003A011A" w:rsidRPr="003A011A" w:rsidRDefault="003A011A" w:rsidP="003A011A">
      <w:pPr>
        <w:numPr>
          <w:ilvl w:val="0"/>
          <w:numId w:val="1"/>
        </w:numPr>
        <w:suppressAutoHyphens/>
        <w:spacing w:after="200" w:line="276" w:lineRule="auto"/>
        <w:contextualSpacing/>
        <w:jc w:val="both"/>
        <w:rPr>
          <w:rFonts w:ascii="Calibri" w:eastAsia="SimSun" w:hAnsi="Calibri" w:cs="Calibri"/>
          <w:b/>
          <w:color w:val="00000A"/>
          <w:sz w:val="22"/>
          <w:szCs w:val="22"/>
        </w:rPr>
      </w:pPr>
      <w:r w:rsidRPr="003A011A">
        <w:rPr>
          <w:rFonts w:ascii="Calibri" w:eastAsia="SimSun" w:hAnsi="Calibri" w:cs="Calibri"/>
          <w:b/>
          <w:color w:val="00000A"/>
          <w:sz w:val="22"/>
          <w:szCs w:val="22"/>
        </w:rPr>
        <w:t>How is the indicator linked to the specific TARGET as worded in the OWG Report?</w:t>
      </w:r>
    </w:p>
    <w:p w:rsidR="003A011A" w:rsidRPr="003A011A" w:rsidRDefault="003A011A" w:rsidP="003A011A">
      <w:pPr>
        <w:suppressAutoHyphens/>
        <w:spacing w:after="200" w:line="276" w:lineRule="auto"/>
        <w:jc w:val="both"/>
        <w:rPr>
          <w:rFonts w:ascii="Calibri" w:eastAsia="SimSun" w:hAnsi="Calibri" w:cs="Calibri"/>
          <w:color w:val="00000A"/>
          <w:sz w:val="22"/>
          <w:szCs w:val="22"/>
        </w:rPr>
      </w:pPr>
      <w:r w:rsidRPr="003A011A">
        <w:rPr>
          <w:rFonts w:ascii="Calibri" w:eastAsia="SimSun" w:hAnsi="Calibri" w:cs="Calibri"/>
          <w:color w:val="00000A"/>
          <w:sz w:val="22"/>
          <w:szCs w:val="22"/>
        </w:rPr>
        <w:t>The indicator is directly linked with the target, particularly to the aspects of sustainable production, adaptation to climate change and improvement of land and soil.</w:t>
      </w:r>
    </w:p>
    <w:p w:rsidR="003A011A" w:rsidRPr="003A011A" w:rsidRDefault="003A011A" w:rsidP="003A011A">
      <w:pPr>
        <w:numPr>
          <w:ilvl w:val="0"/>
          <w:numId w:val="1"/>
        </w:numPr>
        <w:suppressAutoHyphens/>
        <w:spacing w:after="200" w:line="276" w:lineRule="auto"/>
        <w:contextualSpacing/>
        <w:jc w:val="both"/>
        <w:rPr>
          <w:rFonts w:ascii="Calibri" w:eastAsia="SimSun" w:hAnsi="Calibri" w:cs="Calibri"/>
          <w:b/>
          <w:color w:val="00000A"/>
          <w:sz w:val="22"/>
          <w:szCs w:val="22"/>
        </w:rPr>
      </w:pPr>
      <w:r w:rsidRPr="003A011A">
        <w:rPr>
          <w:rFonts w:ascii="Calibri" w:eastAsia="SimSun" w:hAnsi="Calibri" w:cs="Calibri"/>
          <w:b/>
          <w:color w:val="00000A"/>
          <w:sz w:val="22"/>
          <w:szCs w:val="22"/>
        </w:rPr>
        <w:t>Does the indicator already exist and is it regularly reported?</w:t>
      </w:r>
    </w:p>
    <w:p w:rsidR="003A011A" w:rsidRPr="003A011A" w:rsidRDefault="003A011A" w:rsidP="003A011A">
      <w:pPr>
        <w:suppressAutoHyphens/>
        <w:spacing w:after="200" w:line="276" w:lineRule="auto"/>
        <w:jc w:val="both"/>
        <w:rPr>
          <w:rFonts w:ascii="Calibri" w:eastAsia="SimSun" w:hAnsi="Calibri" w:cs="Calibri"/>
          <w:color w:val="00000A"/>
          <w:sz w:val="22"/>
          <w:szCs w:val="22"/>
        </w:rPr>
      </w:pPr>
      <w:r w:rsidRPr="003A011A">
        <w:rPr>
          <w:rFonts w:ascii="Calibri" w:eastAsia="SimSun" w:hAnsi="Calibri" w:cs="Calibri"/>
          <w:color w:val="00000A"/>
          <w:sz w:val="22"/>
          <w:szCs w:val="22"/>
        </w:rPr>
        <w:t xml:space="preserve">At global level, currently there is no data available. However many if not most of the countries record areas which are the object of practices contributing to environmental sustainability under various schemes, either of a regulatory nature, like protected areas for instance, or as part of a subsidies scheme or in a payment for environmental services scheme or as part of voluntary standards, public or private. Countries are also preparing, as part of national reports for the state of the world biodiversity for food and agriculture, statistics on practices contributing to biodiversity, most of which have a broader positive impact on the environment. Moreover, many countries are participating in internationally established strategic frameworks which promote the collection of data at country level. Hence, the data for computing the indicator should be collected through the records that are held in the process of the country participation to those schemes and strategies. </w:t>
      </w:r>
    </w:p>
    <w:p w:rsidR="003A011A" w:rsidRPr="003A011A" w:rsidRDefault="003A011A" w:rsidP="003A011A">
      <w:pPr>
        <w:suppressAutoHyphens/>
        <w:spacing w:after="200" w:line="276" w:lineRule="auto"/>
        <w:jc w:val="both"/>
        <w:rPr>
          <w:rFonts w:ascii="Calibri" w:eastAsia="SimSun" w:hAnsi="Calibri" w:cs="Calibri"/>
          <w:color w:val="00000A"/>
          <w:sz w:val="22"/>
          <w:szCs w:val="22"/>
        </w:rPr>
      </w:pPr>
      <w:r w:rsidRPr="003A011A">
        <w:rPr>
          <w:rFonts w:ascii="Calibri" w:eastAsia="SimSun" w:hAnsi="Calibri" w:cs="Calibri"/>
          <w:color w:val="00000A"/>
          <w:sz w:val="22"/>
          <w:szCs w:val="22"/>
        </w:rPr>
        <w:t xml:space="preserve">FAO is carrying on a consultation process to develop an indicator on “Area under sustainable land management”, to be developed by the end of 2015. The process will be within the framework of the “World Overview of Conservation Approaches and Technologies” (WOCAT) partnership and in the support of UNCCD implementation and will support countries to assess, map and monitor SLM as well as land degradation. The FAO process aims at providing support to policy makers in defining </w:t>
      </w:r>
      <w:r w:rsidRPr="003A011A">
        <w:rPr>
          <w:rFonts w:ascii="Calibri" w:eastAsia="SimSun" w:hAnsi="Calibri" w:cs="Calibri"/>
          <w:color w:val="00000A"/>
          <w:sz w:val="22"/>
          <w:szCs w:val="22"/>
        </w:rPr>
        <w:lastRenderedPageBreak/>
        <w:t>land use policies at national and sub-national levels as well, pursuing sustainable national development in line with Bonn Challenge, Aichi targets and other international agreements.</w:t>
      </w:r>
    </w:p>
    <w:p w:rsidR="003A011A" w:rsidRPr="003A011A" w:rsidRDefault="003A011A" w:rsidP="003A011A">
      <w:pPr>
        <w:keepNext/>
        <w:spacing w:after="200" w:line="276" w:lineRule="auto"/>
        <w:ind w:left="720" w:right="-285" w:hanging="360"/>
        <w:jc w:val="both"/>
        <w:outlineLvl w:val="2"/>
        <w:rPr>
          <w:rFonts w:ascii="Calibri" w:eastAsia="SimSun" w:hAnsi="Calibri"/>
          <w:b/>
          <w:color w:val="auto"/>
          <w:sz w:val="22"/>
          <w:szCs w:val="22"/>
        </w:rPr>
      </w:pPr>
      <w:r w:rsidRPr="003A011A">
        <w:rPr>
          <w:rFonts w:ascii="Calibri" w:eastAsia="SimSun" w:hAnsi="Calibri"/>
          <w:b/>
          <w:color w:val="auto"/>
          <w:sz w:val="22"/>
          <w:szCs w:val="22"/>
        </w:rPr>
        <w:t>Comment on the reliability, potential coverage, comparability across countries, and the possibility to compute the indicator at sub-national level.</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Reliability</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The denominator (Extent of agricultural area) is already estimated regularly by the FAO Member States and reported periodically within the FAOSTAT process, following agreed methods that are consistent across countries and over time. On the contrary, no international standards exist for the collection of data and information about the numerator (</w:t>
      </w:r>
      <w:r w:rsidRPr="003A011A">
        <w:rPr>
          <w:rFonts w:ascii="Calibri" w:eastAsia="SimSun" w:hAnsi="Calibri" w:cs="Calibri"/>
          <w:color w:val="00000A"/>
          <w:sz w:val="22"/>
          <w:szCs w:val="22"/>
        </w:rPr>
        <w:t xml:space="preserve">Area on which are conducted practices contributing to environmental sustainability </w:t>
      </w:r>
      <w:proofErr w:type="gramStart"/>
      <w:r w:rsidRPr="003A011A">
        <w:rPr>
          <w:rFonts w:ascii="Calibri" w:eastAsia="SimSun" w:hAnsi="Calibri" w:cs="Calibri"/>
          <w:color w:val="00000A"/>
          <w:sz w:val="22"/>
          <w:szCs w:val="22"/>
        </w:rPr>
        <w:t>of  agriculture</w:t>
      </w:r>
      <w:proofErr w:type="gramEnd"/>
      <w:r w:rsidRPr="003A011A">
        <w:rPr>
          <w:rFonts w:ascii="Calibri" w:eastAsia="SimSun" w:hAnsi="Calibri" w:cs="Calibri"/>
          <w:color w:val="00000A"/>
          <w:sz w:val="22"/>
          <w:szCs w:val="22"/>
        </w:rPr>
        <w:t>)</w:t>
      </w:r>
      <w:r w:rsidRPr="003A011A">
        <w:rPr>
          <w:rFonts w:ascii="Calibri" w:eastAsia="SimSun" w:hAnsi="Calibri"/>
          <w:color w:val="auto"/>
          <w:sz w:val="22"/>
          <w:szCs w:val="22"/>
        </w:rPr>
        <w:t>. Hence, t</w:t>
      </w:r>
      <w:r w:rsidRPr="003A011A">
        <w:rPr>
          <w:rFonts w:ascii="Calibri" w:eastAsia="SimSun" w:hAnsi="Calibri"/>
          <w:color w:val="auto"/>
          <w:sz w:val="22"/>
          <w:szCs w:val="22"/>
          <w:lang w:eastAsia="en-GB"/>
        </w:rPr>
        <w:t xml:space="preserve">he reliability of the indicator would vary across countries. </w:t>
      </w:r>
      <w:r w:rsidRPr="003A011A">
        <w:rPr>
          <w:rFonts w:ascii="Calibri" w:eastAsia="SimSun" w:hAnsi="Calibri"/>
          <w:color w:val="auto"/>
          <w:sz w:val="22"/>
          <w:szCs w:val="22"/>
        </w:rPr>
        <w:t>However, FAO do have a basket of tools to be proposed to the countries to compute that part of the indicator. In particular, simple questionnaires can be used to collect the information needed for the compilation of the indicator, similar to those used by FAOSTAT and drawing from the LADA methodology and from the</w:t>
      </w:r>
      <w:r w:rsidRPr="003A011A">
        <w:rPr>
          <w:rFonts w:ascii="Calibri" w:eastAsia="SimSun" w:hAnsi="Calibri"/>
          <w:color w:val="00000A"/>
          <w:sz w:val="22"/>
          <w:szCs w:val="22"/>
        </w:rPr>
        <w:t xml:space="preserve"> Guidelines for the preparation of the Country Reports for The State of the World’s Biodiversity for Food and Agriculture</w:t>
      </w:r>
      <w:r w:rsidRPr="003A011A">
        <w:rPr>
          <w:rFonts w:ascii="Calibri" w:eastAsia="SimSun" w:hAnsi="Calibri"/>
          <w:color w:val="auto"/>
          <w:sz w:val="22"/>
          <w:szCs w:val="22"/>
        </w:rPr>
        <w:t>. However, in order to increase the reliability and reproducibility of the indicator, countries will be required to produce metadata alongside to the actual data reported. The data and metadata will be subject to a review and harmonization process following the procedure generally applied in FAOSTAT.</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Coverage</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Data collection or data sharing might be difficult in some countries, due to political or security reasons. In general however, it doesn’t make sense to compute the indicator every year, due to the slow variability of the indicator itself. Given the 15 years’ timeframe of the SDGs process, an indicator’s value every two to three years will allow the creation of a time series that will indicate the trend in the achievement of the target.</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Comparability across countries</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As the same methodologies are used throughout for all countries, the indicator would be directly and fully comparable. However, care has to be taken in providing countries with clear and concise guidelines, in order to limit the variability due to national interpretation of the various elements of information to be collected and to enable to understand the meaning of the data collected.</w:t>
      </w:r>
      <w:r w:rsidRPr="003A011A">
        <w:rPr>
          <w:rFonts w:ascii="Calibri" w:eastAsia="SimSun" w:hAnsi="Calibri" w:cs="Calibri"/>
          <w:color w:val="00000A"/>
          <w:sz w:val="22"/>
          <w:szCs w:val="22"/>
        </w:rPr>
        <w:t xml:space="preserve"> The guidelines will outline the procedures for data collection and for the identification of sustainability measures in general terms, and will be tested in a collaboration with pilot countries. Specific care will be taken to reduce the risk of double counting of areas.</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Sub-national estimates</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As long as farm level and/or georeferenced data are available, the indicator can be computed for specific geographical areas. This is subject to the sampling frame and implied statistical representation in each specific country.</w:t>
      </w:r>
    </w:p>
    <w:p w:rsidR="003A011A" w:rsidRPr="003A011A" w:rsidRDefault="003A011A" w:rsidP="003A011A">
      <w:pPr>
        <w:keepNext/>
        <w:spacing w:after="200" w:line="276" w:lineRule="auto"/>
        <w:ind w:left="720" w:right="-285" w:hanging="360"/>
        <w:jc w:val="both"/>
        <w:outlineLvl w:val="2"/>
        <w:rPr>
          <w:rFonts w:ascii="Calibri" w:eastAsia="SimSun" w:hAnsi="Calibri"/>
          <w:b/>
          <w:color w:val="auto"/>
          <w:sz w:val="22"/>
          <w:szCs w:val="22"/>
        </w:rPr>
      </w:pPr>
      <w:r w:rsidRPr="003A011A">
        <w:rPr>
          <w:rFonts w:ascii="Calibri" w:eastAsia="SimSun" w:hAnsi="Calibri"/>
          <w:b/>
          <w:color w:val="auto"/>
          <w:sz w:val="22"/>
          <w:szCs w:val="22"/>
        </w:rPr>
        <w:t xml:space="preserve">   Is there already a baseline value for 2015?</w:t>
      </w:r>
    </w:p>
    <w:p w:rsidR="003A011A" w:rsidRPr="003A011A" w:rsidRDefault="003A011A" w:rsidP="003A011A">
      <w:pPr>
        <w:tabs>
          <w:tab w:val="left" w:pos="2880"/>
        </w:tabs>
        <w:suppressAutoHyphens/>
        <w:spacing w:after="200" w:line="276" w:lineRule="auto"/>
        <w:jc w:val="both"/>
        <w:rPr>
          <w:rFonts w:ascii="Calibri" w:eastAsia="SimSun" w:hAnsi="Calibri"/>
          <w:color w:val="auto"/>
          <w:sz w:val="22"/>
          <w:szCs w:val="22"/>
        </w:rPr>
      </w:pPr>
      <w:r w:rsidRPr="003A011A">
        <w:rPr>
          <w:rFonts w:ascii="Calibri" w:eastAsia="SimSun" w:hAnsi="Calibri"/>
          <w:color w:val="00000A"/>
          <w:sz w:val="22"/>
          <w:szCs w:val="22"/>
        </w:rPr>
        <w:t>There is yet no baseline value for 2015.</w:t>
      </w:r>
    </w:p>
    <w:bookmarkStart w:id="41" w:name="_Indicator_2.4.2_“Absolute"/>
    <w:bookmarkStart w:id="42" w:name="_Target_2.5_“By"/>
    <w:bookmarkStart w:id="43" w:name="_Toc410645244"/>
    <w:bookmarkStart w:id="44" w:name="_Toc410657841"/>
    <w:bookmarkStart w:id="45" w:name="_Toc410890064"/>
    <w:bookmarkStart w:id="46" w:name="Target2_5"/>
    <w:bookmarkStart w:id="47" w:name="_Toc410912479"/>
    <w:bookmarkEnd w:id="41"/>
    <w:bookmarkEnd w:id="42"/>
    <w:p w:rsidR="003A011A" w:rsidRPr="003A011A" w:rsidRDefault="003A011A" w:rsidP="003A011A">
      <w:pPr>
        <w:pageBreakBefore/>
        <w:shd w:val="clear" w:color="auto" w:fill="002060"/>
        <w:spacing w:after="200" w:line="276" w:lineRule="auto"/>
        <w:ind w:right="-285"/>
        <w:jc w:val="center"/>
        <w:outlineLvl w:val="0"/>
        <w:rPr>
          <w:rFonts w:ascii="Calibri" w:eastAsia="SimSun" w:hAnsi="Calibri"/>
          <w:b/>
          <w:color w:val="FFFFFF"/>
        </w:rPr>
      </w:pPr>
      <w:r w:rsidRPr="003A011A">
        <w:rPr>
          <w:rFonts w:ascii="Calibri" w:eastAsia="SimSun" w:hAnsi="Calibri"/>
          <w:b/>
          <w:color w:val="FFFFFF"/>
          <w:shd w:val="clear" w:color="auto" w:fill="BFBFBF"/>
        </w:rPr>
        <w:lastRenderedPageBreak/>
        <w:fldChar w:fldCharType="begin"/>
      </w:r>
      <w:r w:rsidRPr="003A011A">
        <w:rPr>
          <w:rFonts w:ascii="Calibri" w:eastAsia="SimSun" w:hAnsi="Calibri"/>
          <w:color w:val="FFFFFF"/>
          <w:shd w:val="clear" w:color="auto" w:fill="BFBFBF"/>
        </w:rPr>
        <w:instrText xml:space="preserve"> HYPERLINK  \l "List_of_indicators" </w:instrText>
      </w:r>
      <w:r w:rsidRPr="003A011A">
        <w:rPr>
          <w:rFonts w:ascii="Calibri" w:eastAsia="SimSun" w:hAnsi="Calibri"/>
          <w:b/>
          <w:color w:val="FFFFFF"/>
          <w:shd w:val="clear" w:color="auto" w:fill="BFBFBF"/>
        </w:rPr>
        <w:fldChar w:fldCharType="separate"/>
      </w:r>
      <w:r w:rsidRPr="003A011A">
        <w:rPr>
          <w:rFonts w:ascii="Calibri" w:eastAsia="SimSun" w:hAnsi="Calibri"/>
          <w:b/>
          <w:color w:val="FFFFFF"/>
          <w:u w:val="single"/>
        </w:rPr>
        <w:t>Target 2.5</w:t>
      </w:r>
      <w:bookmarkEnd w:id="43"/>
      <w:bookmarkEnd w:id="44"/>
      <w:bookmarkEnd w:id="45"/>
      <w:r w:rsidRPr="003A011A">
        <w:rPr>
          <w:rFonts w:ascii="Calibri" w:eastAsia="SimSun" w:hAnsi="Calibri"/>
          <w:b/>
          <w:color w:val="FFFFFF"/>
          <w:shd w:val="clear" w:color="auto" w:fill="BFBFBF"/>
        </w:rPr>
        <w:fldChar w:fldCharType="end"/>
      </w:r>
      <w:r w:rsidRPr="003A011A">
        <w:rPr>
          <w:rFonts w:ascii="Calibri" w:eastAsia="SimSun" w:hAnsi="Calibri"/>
          <w:b/>
          <w:color w:val="FFFFFF"/>
        </w:rPr>
        <w:br/>
      </w:r>
      <w:bookmarkEnd w:id="46"/>
      <w:r w:rsidRPr="003A011A">
        <w:rPr>
          <w:rFonts w:ascii="Calibri" w:eastAsia="SimSun" w:hAnsi="Calibri"/>
          <w:b/>
          <w:color w:val="FFFFFF"/>
        </w:rPr>
        <w:t>“By 2020, maintain the genetic diversity of seeds, cultivated plants and farmed and domesticated animals and their related wild species, including through soundly managed and diversified seed and plant banks at the national, regional and international levels, and ensure access to and fair and equitable sharing of benefits arising from the utilization of genetic resources and associated traditional knowledge, as internationally agreed”</w:t>
      </w:r>
      <w:bookmarkEnd w:id="47"/>
    </w:p>
    <w:p w:rsidR="003A011A" w:rsidRPr="003A011A" w:rsidRDefault="003A011A" w:rsidP="003A011A">
      <w:pPr>
        <w:spacing w:after="200" w:line="276" w:lineRule="auto"/>
        <w:ind w:right="-285"/>
        <w:jc w:val="both"/>
        <w:rPr>
          <w:rFonts w:ascii="Calibri" w:eastAsia="SimSun" w:hAnsi="Calibri"/>
          <w:i/>
          <w:color w:val="auto"/>
          <w:sz w:val="22"/>
          <w:szCs w:val="22"/>
        </w:rPr>
      </w:pPr>
    </w:p>
    <w:p w:rsidR="003A011A" w:rsidRPr="003A011A" w:rsidRDefault="003A011A" w:rsidP="003A011A">
      <w:pPr>
        <w:spacing w:after="200" w:line="276" w:lineRule="auto"/>
        <w:ind w:right="-285"/>
        <w:jc w:val="both"/>
        <w:rPr>
          <w:rFonts w:ascii="Calibri" w:eastAsia="SimSun" w:hAnsi="Calibri"/>
          <w:i/>
          <w:color w:val="auto"/>
          <w:sz w:val="22"/>
          <w:szCs w:val="22"/>
        </w:rPr>
      </w:pPr>
      <w:r w:rsidRPr="003A011A">
        <w:rPr>
          <w:rFonts w:ascii="Calibri" w:eastAsia="SimSun" w:hAnsi="Calibri"/>
          <w:i/>
          <w:color w:val="auto"/>
          <w:sz w:val="22"/>
          <w:szCs w:val="22"/>
        </w:rPr>
        <w:t>For this target we identify two possible core indicators: the “ex-situ crop collection indicator (listed here as indicator 2.5.1), which refers to vegetal entities, and the “Number/percentage of local breeds classified as being at-risk, not-at-risk and unknown-levels of risk of extinction” (listed as indicator 2.5.2), which refers to domesticated animals and their related wild species.</w:t>
      </w:r>
    </w:p>
    <w:p w:rsidR="003A011A" w:rsidRPr="003A011A" w:rsidRDefault="003A011A" w:rsidP="003A011A">
      <w:pPr>
        <w:spacing w:after="200" w:line="276" w:lineRule="auto"/>
        <w:ind w:right="-285"/>
        <w:jc w:val="both"/>
        <w:rPr>
          <w:rFonts w:ascii="Calibri" w:eastAsia="SimSun" w:hAnsi="Calibri"/>
          <w:i/>
          <w:color w:val="auto"/>
          <w:sz w:val="22"/>
          <w:szCs w:val="22"/>
        </w:rPr>
      </w:pPr>
      <w:r w:rsidRPr="003A011A">
        <w:rPr>
          <w:rFonts w:ascii="Calibri" w:eastAsia="SimSun" w:hAnsi="Calibri"/>
          <w:i/>
          <w:color w:val="auto"/>
          <w:sz w:val="22"/>
          <w:szCs w:val="22"/>
        </w:rPr>
        <w:t>FAO is highly concerned that UNSD’s preliminary list of May determined only one priority indicator for this target, down from two in its February list. As target 2.5 addresses both plants and animals, its measurement cannot be subsumed under one sole indicator. Moreover, UNSD’s choice appears to be superficially linked to the particular order of these elements in the target (plants appear before animals), even though there is no objective reason to assume a prioritization between the two on this basis.</w:t>
      </w:r>
    </w:p>
    <w:p w:rsidR="003A011A" w:rsidRPr="003A011A" w:rsidRDefault="003A011A" w:rsidP="003A011A">
      <w:pPr>
        <w:rPr>
          <w:rFonts w:ascii="Calibri" w:eastAsia="SimSun" w:hAnsi="Calibri"/>
          <w:b/>
          <w:color w:val="365F91"/>
          <w:lang w:eastAsia="it-IT"/>
        </w:rPr>
      </w:pPr>
      <w:bookmarkStart w:id="48" w:name="_Indicator_2.5.1_Ex-situ"/>
      <w:bookmarkStart w:id="49" w:name="Indicator2_5_1"/>
      <w:bookmarkStart w:id="50" w:name="_Toc410890065"/>
      <w:bookmarkStart w:id="51" w:name="_Toc410912480"/>
      <w:bookmarkEnd w:id="48"/>
      <w:r w:rsidRPr="003A011A">
        <w:rPr>
          <w:rFonts w:ascii="Calibri" w:eastAsia="SimSun" w:hAnsi="Calibri"/>
          <w:b/>
          <w:color w:val="365F91"/>
          <w:lang w:eastAsia="it-IT"/>
        </w:rPr>
        <w:br w:type="page"/>
      </w:r>
    </w:p>
    <w:p w:rsidR="003A011A" w:rsidRPr="003A011A" w:rsidRDefault="003A011A" w:rsidP="003A011A">
      <w:pPr>
        <w:pageBreakBefore/>
        <w:shd w:val="clear" w:color="auto" w:fill="99FF99"/>
        <w:spacing w:after="200" w:line="276" w:lineRule="auto"/>
        <w:ind w:right="-285"/>
        <w:jc w:val="center"/>
        <w:outlineLvl w:val="1"/>
        <w:rPr>
          <w:rFonts w:ascii="Calibri" w:eastAsia="SimSun" w:hAnsi="Calibri"/>
          <w:b/>
          <w:color w:val="auto"/>
          <w:lang w:val="fr-CA"/>
        </w:rPr>
      </w:pPr>
      <w:hyperlink w:anchor="List_of_indicators" w:history="1">
        <w:r w:rsidRPr="003A011A">
          <w:rPr>
            <w:rFonts w:ascii="Calibri" w:eastAsia="SimSun" w:hAnsi="Calibri"/>
            <w:b/>
            <w:color w:val="auto"/>
            <w:lang w:val="fr-CA" w:eastAsia="it-IT"/>
          </w:rPr>
          <w:t>Indicator 2.5.1</w:t>
        </w:r>
      </w:hyperlink>
      <w:r w:rsidRPr="003A011A">
        <w:rPr>
          <w:rFonts w:ascii="Calibri" w:eastAsia="SimSun" w:hAnsi="Calibri"/>
          <w:b/>
          <w:color w:val="auto"/>
          <w:lang w:val="fr-CA" w:eastAsia="it-IT"/>
        </w:rPr>
        <w:br/>
      </w:r>
      <w:bookmarkEnd w:id="49"/>
      <w:bookmarkEnd w:id="50"/>
      <w:bookmarkEnd w:id="51"/>
      <w:r w:rsidRPr="003A011A">
        <w:rPr>
          <w:rFonts w:ascii="Calibri" w:eastAsia="SimSun" w:hAnsi="Calibri"/>
          <w:color w:val="auto"/>
          <w:lang w:val="fr-CA" w:eastAsia="it-IT"/>
        </w:rPr>
        <w:t>Ex-Situ Crop Collections Enrichment index</w:t>
      </w:r>
    </w:p>
    <w:p w:rsidR="003A011A" w:rsidRPr="003A011A" w:rsidRDefault="003A011A" w:rsidP="003A011A">
      <w:pPr>
        <w:keepNext/>
        <w:spacing w:after="200" w:line="276" w:lineRule="auto"/>
        <w:ind w:left="720" w:right="-285"/>
        <w:jc w:val="both"/>
        <w:outlineLvl w:val="2"/>
        <w:rPr>
          <w:rFonts w:ascii="Calibri" w:eastAsia="SimSun" w:hAnsi="Calibri"/>
          <w:b/>
          <w:color w:val="auto"/>
          <w:sz w:val="22"/>
          <w:szCs w:val="22"/>
          <w:lang w:val="fr-CA"/>
        </w:rPr>
      </w:pPr>
    </w:p>
    <w:p w:rsidR="003A011A" w:rsidRPr="003A011A" w:rsidRDefault="003A011A" w:rsidP="003A011A">
      <w:pPr>
        <w:keepNext/>
        <w:numPr>
          <w:ilvl w:val="0"/>
          <w:numId w:val="5"/>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iCs/>
          <w:color w:val="auto"/>
          <w:sz w:val="22"/>
          <w:szCs w:val="22"/>
        </w:rPr>
        <w:t>Precise</w:t>
      </w:r>
      <w:r w:rsidRPr="003A011A">
        <w:rPr>
          <w:rFonts w:ascii="Calibri" w:eastAsia="SimSun" w:hAnsi="Calibri"/>
          <w:b/>
          <w:color w:val="auto"/>
          <w:sz w:val="22"/>
          <w:szCs w:val="22"/>
        </w:rPr>
        <w:t xml:space="preserve"> definition of the indicator</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The </w:t>
      </w:r>
      <w:r w:rsidRPr="003A011A">
        <w:rPr>
          <w:rFonts w:ascii="Calibri" w:eastAsia="SimSun" w:hAnsi="Calibri"/>
          <w:b/>
          <w:bCs/>
          <w:color w:val="auto"/>
          <w:sz w:val="22"/>
          <w:szCs w:val="22"/>
        </w:rPr>
        <w:t xml:space="preserve">Ex-situ Crop </w:t>
      </w:r>
      <w:r w:rsidRPr="003A011A">
        <w:rPr>
          <w:rFonts w:ascii="Calibri" w:eastAsia="SimSun" w:hAnsi="Calibri"/>
          <w:b/>
          <w:color w:val="auto"/>
          <w:sz w:val="22"/>
          <w:szCs w:val="22"/>
        </w:rPr>
        <w:t>Collections Enrichment index</w:t>
      </w:r>
      <w:r w:rsidRPr="003A011A">
        <w:rPr>
          <w:rFonts w:ascii="Calibri" w:eastAsia="SimSun" w:hAnsi="Calibri"/>
          <w:color w:val="auto"/>
          <w:sz w:val="22"/>
          <w:szCs w:val="22"/>
        </w:rPr>
        <w:t xml:space="preserve"> is a dynamic measure of the bio- and geographical diversity contained within ex-situ collections across time.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Plant genetic resources for food and agriculture (PGRFA) are the biological basis of world food security. They consist of the diversity of genetic material contained in traditional varieties and modern cultivars grown by farmers as well as crop wild relatives and other wild plant species. It is widely believed that PGRFA are being lost. Agricultural systems are dynamic and the amounts and identity of the genetic diversity in them is constantly subject to change. Ex situ conservation of PGRFA represents the most trusted and popular means of conserving plant genetic resources worldwide. The measure of trends in ex situ conserved materials provides an overall assessment of the extent to which we are managing to maintain and/or increase the total genetic diversity required for current and future production and therefore secure under controlled conditions from any permanent loss of this type of genetic diversity occurring in the field.</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The indicator proposed for target 15.5 under SDG serves also as indicator for the CBD’s Aichi Target 13 on </w:t>
      </w:r>
      <w:r w:rsidRPr="003A011A">
        <w:rPr>
          <w:rFonts w:ascii="Calibri" w:eastAsia="SimSun" w:hAnsi="Calibri"/>
          <w:i/>
          <w:iCs/>
          <w:color w:val="auto"/>
          <w:sz w:val="22"/>
          <w:szCs w:val="22"/>
        </w:rPr>
        <w:t xml:space="preserve">genetic diversity of cultivated plants </w:t>
      </w:r>
      <w:r w:rsidRPr="003A011A">
        <w:rPr>
          <w:rFonts w:ascii="Calibri" w:eastAsia="SimSun" w:hAnsi="Calibri"/>
          <w:color w:val="auto"/>
          <w:sz w:val="22"/>
          <w:szCs w:val="22"/>
        </w:rPr>
        <w:t>[…]</w:t>
      </w:r>
      <w:r w:rsidRPr="003A011A">
        <w:rPr>
          <w:rFonts w:ascii="Calibri" w:eastAsia="SimSun" w:hAnsi="Calibri"/>
          <w:i/>
          <w:iCs/>
          <w:color w:val="auto"/>
          <w:sz w:val="22"/>
          <w:szCs w:val="22"/>
        </w:rPr>
        <w:t xml:space="preserve"> and of wild relatives</w:t>
      </w:r>
      <w:r w:rsidRPr="003A011A">
        <w:rPr>
          <w:rFonts w:ascii="Calibri" w:eastAsia="SimSun" w:hAnsi="Calibri"/>
          <w:color w:val="auto"/>
          <w:sz w:val="22"/>
          <w:szCs w:val="22"/>
        </w:rPr>
        <w:t xml:space="preserve"> and is described at the webpage of the Biodiversity Indicators Partnership (BIP), a network of organizations which have come together to provide the most up-to date biodiversity information possible for tracking progress towards the Aichi Targets (</w:t>
      </w:r>
      <w:hyperlink r:id="rId14" w:history="1">
        <w:r w:rsidRPr="003A011A">
          <w:rPr>
            <w:rFonts w:ascii="Calibri" w:eastAsia="SimSun" w:hAnsi="Calibri"/>
            <w:color w:val="auto"/>
            <w:sz w:val="22"/>
            <w:szCs w:val="22"/>
            <w:u w:val="single"/>
          </w:rPr>
          <w:t>http://www.bipindicators.net/cropcollections</w:t>
        </w:r>
      </w:hyperlink>
      <w:r w:rsidRPr="003A011A">
        <w:rPr>
          <w:rFonts w:ascii="Calibri" w:eastAsia="SimSun" w:hAnsi="Calibri"/>
          <w:color w:val="auto"/>
          <w:sz w:val="22"/>
          <w:szCs w:val="22"/>
        </w:rPr>
        <w:t xml:space="preserve">). </w:t>
      </w:r>
    </w:p>
    <w:p w:rsidR="003A011A" w:rsidRPr="003A011A" w:rsidRDefault="003A011A" w:rsidP="003A011A">
      <w:pPr>
        <w:keepNext/>
        <w:numPr>
          <w:ilvl w:val="0"/>
          <w:numId w:val="5"/>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How is the indicator linked to the specific TARGET as worded in the OWG Report?</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The indicator has a direct link to “biodiversity” and, indirectly to “food security”, as plant genetic resources are at the base of agricultural ecosystems and biodiversity, and make up to more than 90% of food calories consumed by the world’s population. Ex situ collections represent the most accessible gene pool for breeding programmes to improve crop varieties and to find traits of resistance and adaptability to biotic and abiotic stresses, including climate change, salinity, drought, flooding, as well as pests and diseases. Sustainable crop production intensification heavily depends on plant genetic resources and their adequate management.</w:t>
      </w:r>
    </w:p>
    <w:p w:rsidR="003A011A" w:rsidRPr="003A011A" w:rsidRDefault="003A011A" w:rsidP="003A011A">
      <w:pPr>
        <w:keepNext/>
        <w:numPr>
          <w:ilvl w:val="0"/>
          <w:numId w:val="5"/>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Does the indicator already exist and is it regularly reported?</w:t>
      </w:r>
    </w:p>
    <w:p w:rsidR="003A011A" w:rsidRPr="003A011A" w:rsidRDefault="003A011A" w:rsidP="003A011A">
      <w:pPr>
        <w:spacing w:after="200" w:line="276" w:lineRule="auto"/>
        <w:ind w:right="-285"/>
        <w:jc w:val="both"/>
        <w:rPr>
          <w:rFonts w:ascii="Calibri" w:eastAsia="SimSun" w:hAnsi="Calibri"/>
          <w:b/>
          <w:bCs/>
          <w:color w:val="auto"/>
          <w:sz w:val="22"/>
          <w:szCs w:val="22"/>
        </w:rPr>
      </w:pPr>
      <w:r w:rsidRPr="003A011A">
        <w:rPr>
          <w:rFonts w:ascii="Calibri" w:eastAsia="SimSun" w:hAnsi="Calibri"/>
          <w:color w:val="auto"/>
          <w:sz w:val="22"/>
          <w:szCs w:val="22"/>
        </w:rPr>
        <w:t>The indicator has been calculated by FAO/AGPMG in 2008 and 2014. It will be calculated again in 2015 and then periodically every 2-3 years based on data reported by member countries to the Commission of Genetic Resources of Food and Agriculture on the implementation of the Second Global Plan of Action for PGRFA, as agreed at CGRFA-15:</w:t>
      </w:r>
      <w:r w:rsidRPr="003A011A">
        <w:rPr>
          <w:rFonts w:ascii="Calibri" w:eastAsia="SimSun" w:hAnsi="Calibri"/>
          <w:b/>
          <w:bCs/>
          <w:color w:val="auto"/>
          <w:sz w:val="22"/>
          <w:szCs w:val="22"/>
        </w:rPr>
        <w:t xml:space="preserve"> </w:t>
      </w:r>
      <w:hyperlink r:id="rId15" w:history="1">
        <w:r w:rsidRPr="003A011A">
          <w:rPr>
            <w:rFonts w:ascii="Calibri" w:eastAsia="SimSun" w:hAnsi="Calibri"/>
            <w:color w:val="auto"/>
            <w:sz w:val="22"/>
            <w:szCs w:val="22"/>
            <w:u w:val="single"/>
          </w:rPr>
          <w:t>http://www.fao.org/3/a-mm181e.pdf</w:t>
        </w:r>
      </w:hyperlink>
      <w:r w:rsidRPr="003A011A">
        <w:rPr>
          <w:rFonts w:ascii="Calibri" w:eastAsia="SimSun" w:hAnsi="Calibri"/>
          <w:color w:val="auto"/>
          <w:sz w:val="22"/>
          <w:szCs w:val="22"/>
        </w:rPr>
        <w:t xml:space="preserve">.  The links to the BIP and CBD are provided above. </w:t>
      </w:r>
    </w:p>
    <w:p w:rsidR="003A011A" w:rsidRPr="003A011A" w:rsidRDefault="003A011A" w:rsidP="003A011A">
      <w:pPr>
        <w:spacing w:after="200" w:line="276" w:lineRule="auto"/>
        <w:ind w:right="-285"/>
        <w:jc w:val="both"/>
        <w:rPr>
          <w:rFonts w:ascii="Calibri" w:eastAsia="SimSun" w:hAnsi="Calibri"/>
          <w:b/>
          <w:bCs/>
          <w:color w:val="auto"/>
          <w:sz w:val="22"/>
          <w:szCs w:val="22"/>
        </w:rPr>
      </w:pPr>
      <w:r w:rsidRPr="003A011A">
        <w:rPr>
          <w:rFonts w:ascii="Calibri" w:eastAsia="SimSun" w:hAnsi="Calibri"/>
          <w:color w:val="auto"/>
          <w:sz w:val="22"/>
          <w:szCs w:val="22"/>
        </w:rPr>
        <w:t xml:space="preserve">Country data are stored in WIEWS, the FAO PGRFA information system maintained by AGP (see </w:t>
      </w:r>
      <w:hyperlink r:id="rId16" w:history="1">
        <w:r w:rsidRPr="003A011A">
          <w:rPr>
            <w:rFonts w:ascii="Calibri" w:eastAsia="SimSun" w:hAnsi="Calibri"/>
            <w:color w:val="auto"/>
            <w:sz w:val="22"/>
            <w:szCs w:val="22"/>
            <w:u w:val="single"/>
          </w:rPr>
          <w:t>http://www.pgrfa.org/WIEWS/</w:t>
        </w:r>
      </w:hyperlink>
      <w:r w:rsidRPr="003A011A">
        <w:rPr>
          <w:rFonts w:ascii="Calibri" w:eastAsia="SimSun" w:hAnsi="Calibri"/>
          <w:color w:val="auto"/>
          <w:sz w:val="22"/>
          <w:szCs w:val="22"/>
        </w:rPr>
        <w:t>). WIEWS responsible officer is currently Mr Stefano Diulgheroff (</w:t>
      </w:r>
      <w:hyperlink r:id="rId17" w:history="1">
        <w:r w:rsidRPr="003A011A">
          <w:rPr>
            <w:rFonts w:ascii="Calibri" w:eastAsia="SimSun" w:hAnsi="Calibri"/>
            <w:color w:val="auto"/>
            <w:sz w:val="22"/>
            <w:szCs w:val="22"/>
            <w:u w:val="single"/>
          </w:rPr>
          <w:t>wiew@fao.org</w:t>
        </w:r>
      </w:hyperlink>
      <w:r w:rsidRPr="003A011A">
        <w:rPr>
          <w:rFonts w:ascii="Calibri" w:eastAsia="SimSun" w:hAnsi="Calibri"/>
          <w:color w:val="auto"/>
          <w:sz w:val="22"/>
          <w:szCs w:val="22"/>
        </w:rPr>
        <w:t xml:space="preserve">).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lastRenderedPageBreak/>
        <w:t>Existing data sources should be identified, possibly with both time and country coverage.  If there are no sufficiently dense data sources, a description of the kind of investment that is likely necessary to bring coverage to a sufficient extent to make global monitoring meaningful should be provided.</w:t>
      </w:r>
    </w:p>
    <w:p w:rsidR="003A011A" w:rsidRPr="003A011A" w:rsidRDefault="003A011A" w:rsidP="003A011A">
      <w:pPr>
        <w:keepNext/>
        <w:numPr>
          <w:ilvl w:val="0"/>
          <w:numId w:val="5"/>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Comment on the reliability, potential coverage, comparability across countries, and the possibility to compute the indicator at sub-national level.</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Reliability</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Data on gene bank holdings which the indicator uses are relatively reliable as they have been periodically reported to FAO since 1996. For the majority of staple crops the largest collections are held by international research centres. </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Coverage</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Data from more than 2 million accessions conserved ex situ world-wide are already accessible. It is expected that by mid-2015 data from 0.5 to 1 million additional accessions will be gathered from countries around the world.   This will allow a relatively accurate elaboration of the indicator, which nevertheless can the subsequently adjusted with the incorporation of missing gene bank data. The calculation of the indicator and its evolution overtime will be readjusted with the additional data. </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Comparability across countries</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The indicator can be calculated globally as well as for each individual country and region. National and regional values can be compared among themselves as calculation is done in the same way for all countries and regions.</w:t>
      </w:r>
    </w:p>
    <w:p w:rsidR="003A011A" w:rsidRPr="003A011A" w:rsidRDefault="003A011A" w:rsidP="003A011A">
      <w:pPr>
        <w:spacing w:after="200" w:line="276" w:lineRule="auto"/>
        <w:ind w:right="-285"/>
        <w:jc w:val="both"/>
        <w:rPr>
          <w:rFonts w:ascii="Calibri" w:eastAsia="Calibri" w:hAnsi="Calibri"/>
          <w:color w:val="auto"/>
          <w:sz w:val="22"/>
          <w:szCs w:val="22"/>
          <w:u w:val="single"/>
        </w:rPr>
      </w:pPr>
      <w:r w:rsidRPr="003A011A">
        <w:rPr>
          <w:rFonts w:ascii="Calibri" w:eastAsia="SimSun" w:hAnsi="Calibri"/>
          <w:color w:val="auto"/>
          <w:sz w:val="22"/>
          <w:szCs w:val="22"/>
          <w:u w:val="single"/>
        </w:rPr>
        <w:t>Sub-national estimates</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Not applicable.</w:t>
      </w:r>
    </w:p>
    <w:p w:rsidR="003A011A" w:rsidRPr="003A011A" w:rsidRDefault="003A011A" w:rsidP="003A011A">
      <w:pPr>
        <w:keepNext/>
        <w:numPr>
          <w:ilvl w:val="0"/>
          <w:numId w:val="5"/>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 xml:space="preserve">   Is there already a baseline value for 2015?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A numerical target for 2030 could be expressed as a minimum percentage </w:t>
      </w:r>
      <w:r w:rsidRPr="003A011A">
        <w:rPr>
          <w:rFonts w:ascii="Calibri" w:eastAsia="SimSun" w:hAnsi="Calibri"/>
          <w:i/>
          <w:color w:val="auto"/>
          <w:sz w:val="22"/>
          <w:szCs w:val="22"/>
        </w:rPr>
        <w:t>increase</w:t>
      </w:r>
      <w:r w:rsidRPr="003A011A">
        <w:rPr>
          <w:rFonts w:ascii="Calibri" w:eastAsia="SimSun" w:hAnsi="Calibri"/>
          <w:color w:val="auto"/>
          <w:sz w:val="22"/>
          <w:szCs w:val="22"/>
        </w:rPr>
        <w:t xml:space="preserve"> of the indicator value, with respect to the value it had in a specific baseline year such as 1996, which is the year of adoption of the Global Plan of Action for the Conservation and Sustainable Use of PGRFA.</w:t>
      </w:r>
    </w:p>
    <w:bookmarkStart w:id="52" w:name="_Indicator_2.5.2_“Number/percentage"/>
    <w:bookmarkStart w:id="53" w:name="Indicator252"/>
    <w:bookmarkStart w:id="54" w:name="Indicator2_5_2"/>
    <w:bookmarkStart w:id="55" w:name="_Toc410657842"/>
    <w:bookmarkStart w:id="56" w:name="_Toc410890066"/>
    <w:bookmarkStart w:id="57" w:name="_Toc410912481"/>
    <w:bookmarkEnd w:id="52"/>
    <w:p w:rsidR="003A011A" w:rsidRPr="003A011A" w:rsidRDefault="003A011A" w:rsidP="003A011A">
      <w:pPr>
        <w:pageBreakBefore/>
        <w:shd w:val="clear" w:color="auto" w:fill="99FF99"/>
        <w:spacing w:after="200" w:line="276" w:lineRule="auto"/>
        <w:ind w:right="-285"/>
        <w:jc w:val="center"/>
        <w:outlineLvl w:val="1"/>
        <w:rPr>
          <w:rFonts w:ascii="Calibri" w:eastAsia="SimSun" w:hAnsi="Calibri"/>
          <w:b/>
          <w:color w:val="auto"/>
        </w:rPr>
      </w:pPr>
      <w:r w:rsidRPr="003A011A">
        <w:rPr>
          <w:rFonts w:ascii="Calibri" w:eastAsia="SimSun" w:hAnsi="Calibri"/>
          <w:b/>
          <w:color w:val="auto"/>
        </w:rPr>
        <w:lastRenderedPageBreak/>
        <w:fldChar w:fldCharType="begin"/>
      </w:r>
      <w:r w:rsidRPr="003A011A">
        <w:rPr>
          <w:rFonts w:ascii="Calibri" w:eastAsia="SimSun" w:hAnsi="Calibri"/>
          <w:b/>
          <w:color w:val="auto"/>
        </w:rPr>
        <w:instrText xml:space="preserve"> HYPERLINK  \l "List_of_indicators" </w:instrText>
      </w:r>
      <w:r w:rsidRPr="003A011A">
        <w:rPr>
          <w:rFonts w:ascii="Calibri" w:eastAsia="SimSun" w:hAnsi="Calibri"/>
          <w:b/>
          <w:color w:val="auto"/>
        </w:rPr>
        <w:fldChar w:fldCharType="separate"/>
      </w:r>
      <w:r w:rsidRPr="003A011A">
        <w:rPr>
          <w:rFonts w:ascii="Calibri" w:eastAsia="SimSun" w:hAnsi="Calibri"/>
          <w:b/>
          <w:color w:val="auto"/>
        </w:rPr>
        <w:t>Indicator 2.5.2</w:t>
      </w:r>
      <w:r w:rsidRPr="003A011A">
        <w:rPr>
          <w:rFonts w:ascii="Calibri" w:eastAsia="SimSun" w:hAnsi="Calibri"/>
          <w:b/>
          <w:color w:val="auto"/>
        </w:rPr>
        <w:fldChar w:fldCharType="end"/>
      </w:r>
      <w:bookmarkEnd w:id="53"/>
      <w:bookmarkEnd w:id="54"/>
      <w:r w:rsidRPr="003A011A">
        <w:rPr>
          <w:rFonts w:ascii="Calibri" w:eastAsia="SimSun" w:hAnsi="Calibri"/>
          <w:b/>
          <w:color w:val="auto"/>
        </w:rPr>
        <w:br/>
      </w:r>
      <w:r w:rsidRPr="003A011A">
        <w:rPr>
          <w:rFonts w:ascii="Calibri" w:eastAsia="SimSun" w:hAnsi="Calibri"/>
          <w:b/>
          <w:color w:val="auto"/>
          <w:shd w:val="clear" w:color="auto" w:fill="99FF99"/>
        </w:rPr>
        <w:t>“</w:t>
      </w:r>
      <w:r w:rsidRPr="003A011A">
        <w:rPr>
          <w:rFonts w:ascii="Calibri" w:eastAsia="SimSun" w:hAnsi="Calibri"/>
          <w:color w:val="auto"/>
          <w:shd w:val="clear" w:color="auto" w:fill="99FF99"/>
        </w:rPr>
        <w:t>Number/percentage of local breeds classified as being at-risk, not-at-risk and unknown-levels of risk of extinction</w:t>
      </w:r>
      <w:r w:rsidRPr="003A011A">
        <w:rPr>
          <w:rFonts w:ascii="Calibri" w:eastAsia="SimSun" w:hAnsi="Calibri"/>
          <w:b/>
          <w:color w:val="auto"/>
          <w:shd w:val="clear" w:color="auto" w:fill="99FF99"/>
        </w:rPr>
        <w:t>”</w:t>
      </w:r>
      <w:bookmarkEnd w:id="55"/>
      <w:bookmarkEnd w:id="56"/>
      <w:bookmarkEnd w:id="57"/>
    </w:p>
    <w:p w:rsidR="003A011A" w:rsidRPr="003A011A" w:rsidRDefault="003A011A" w:rsidP="003A011A">
      <w:pPr>
        <w:keepNext/>
        <w:spacing w:after="200" w:line="276" w:lineRule="auto"/>
        <w:ind w:left="720" w:right="-285"/>
        <w:jc w:val="both"/>
        <w:outlineLvl w:val="2"/>
        <w:rPr>
          <w:rFonts w:ascii="Calibri" w:eastAsia="SimSun" w:hAnsi="Calibri"/>
          <w:b/>
          <w:color w:val="auto"/>
          <w:sz w:val="22"/>
          <w:szCs w:val="22"/>
        </w:rPr>
      </w:pPr>
    </w:p>
    <w:p w:rsidR="003A011A" w:rsidRPr="003A011A" w:rsidRDefault="003A011A" w:rsidP="003A011A">
      <w:pPr>
        <w:keepNext/>
        <w:numPr>
          <w:ilvl w:val="0"/>
          <w:numId w:val="6"/>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P</w:t>
      </w:r>
      <w:r w:rsidRPr="003A011A">
        <w:rPr>
          <w:rFonts w:ascii="Calibri" w:eastAsia="SimSun" w:hAnsi="Calibri"/>
          <w:b/>
          <w:iCs/>
          <w:color w:val="auto"/>
          <w:sz w:val="22"/>
          <w:szCs w:val="22"/>
        </w:rPr>
        <w:t>recise</w:t>
      </w:r>
      <w:r w:rsidRPr="003A011A">
        <w:rPr>
          <w:rFonts w:ascii="Calibri" w:eastAsia="SimSun" w:hAnsi="Calibri"/>
          <w:b/>
          <w:color w:val="auto"/>
          <w:sz w:val="22"/>
          <w:szCs w:val="22"/>
        </w:rPr>
        <w:t xml:space="preserve"> definition of the indicator</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The indicator presents the percentage of livestock breeds classified as being at risk, not at risk or of unknown risk of extinctions at a certain moment in time, as well as the trends for those percentages.</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The indicator is based on the most up to date data contained in FAO’s Global Databank for Animal Genetic Resources DAD-IS (</w:t>
      </w:r>
      <w:hyperlink r:id="rId18" w:history="1">
        <w:r w:rsidRPr="003A011A">
          <w:rPr>
            <w:rFonts w:ascii="Calibri" w:eastAsia="SimSun" w:hAnsi="Calibri"/>
            <w:color w:val="auto"/>
            <w:sz w:val="22"/>
            <w:szCs w:val="22"/>
            <w:u w:val="single"/>
          </w:rPr>
          <w:t>http://dad.fao.org/</w:t>
        </w:r>
      </w:hyperlink>
      <w:r w:rsidRPr="003A011A">
        <w:rPr>
          <w:rFonts w:ascii="Calibri" w:eastAsia="SimSun" w:hAnsi="Calibri"/>
          <w:color w:val="auto"/>
          <w:sz w:val="22"/>
          <w:szCs w:val="22"/>
        </w:rPr>
        <w:t>) at the time of calculation. Risk classes are defined based population sizes of breeds reported to DAD-IS. The risk class is considered to be “unknown” if (i) no population sizes are reported or (ii) the most recent population size reported refers to a year more than 10- years before the year of calculation (10 year cut off point).</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Links to official definitions/descriptions of the indicator are reported below: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The indicator is one out of a set of 3 sub-indicators which are defined in the document CGRFA/WG-AnGR-7/12/7 “Targets and indicators for animal genetic resources” (</w:t>
      </w:r>
      <w:hyperlink r:id="rId19" w:history="1">
        <w:r w:rsidRPr="003A011A">
          <w:rPr>
            <w:rFonts w:ascii="Calibri" w:eastAsia="SimSun" w:hAnsi="Calibri"/>
            <w:color w:val="auto"/>
            <w:sz w:val="22"/>
            <w:szCs w:val="22"/>
            <w:u w:val="single"/>
          </w:rPr>
          <w:t>http://www.fao.org/docrep/meeting/026/me514e.pdf</w:t>
        </w:r>
      </w:hyperlink>
      <w:r w:rsidRPr="003A011A">
        <w:rPr>
          <w:rFonts w:ascii="Calibri" w:eastAsia="SimSun" w:hAnsi="Calibri"/>
          <w:color w:val="auto"/>
          <w:sz w:val="22"/>
          <w:szCs w:val="22"/>
        </w:rPr>
        <w:t>)  and that are endorsed in their current form by Commission on Genetic Resources for Food and Agriculture at its the 14</w:t>
      </w:r>
      <w:r w:rsidRPr="003A011A">
        <w:rPr>
          <w:rFonts w:ascii="Calibri" w:eastAsia="SimSun" w:hAnsi="Calibri"/>
          <w:color w:val="auto"/>
          <w:sz w:val="22"/>
          <w:szCs w:val="22"/>
          <w:vertAlign w:val="superscript"/>
        </w:rPr>
        <w:t>th</w:t>
      </w:r>
      <w:r w:rsidRPr="003A011A">
        <w:rPr>
          <w:rFonts w:ascii="Calibri" w:eastAsia="SimSun" w:hAnsi="Calibri"/>
          <w:color w:val="auto"/>
          <w:sz w:val="22"/>
          <w:szCs w:val="22"/>
        </w:rPr>
        <w:t xml:space="preserve"> Session (see  par 28 CRRFA-14/13/Report at </w:t>
      </w:r>
      <w:hyperlink r:id="rId20" w:history="1">
        <w:r w:rsidRPr="003A011A">
          <w:rPr>
            <w:rFonts w:ascii="Calibri" w:eastAsia="SimSun" w:hAnsi="Calibri"/>
            <w:color w:val="auto"/>
            <w:sz w:val="22"/>
            <w:szCs w:val="22"/>
            <w:u w:val="single"/>
          </w:rPr>
          <w:t>http://www.fao.org/docrep/meeting/028/mg538e.pdf</w:t>
        </w:r>
      </w:hyperlink>
      <w:r w:rsidRPr="003A011A">
        <w:rPr>
          <w:rFonts w:ascii="Calibri" w:eastAsia="SimSun" w:hAnsi="Calibri"/>
          <w:color w:val="auto"/>
          <w:sz w:val="22"/>
          <w:szCs w:val="22"/>
        </w:rPr>
        <w:t>). The indicator serves</w:t>
      </w:r>
      <w:proofErr w:type="gramStart"/>
      <w:r w:rsidRPr="003A011A">
        <w:rPr>
          <w:rFonts w:ascii="Calibri" w:eastAsia="SimSun" w:hAnsi="Calibri"/>
          <w:color w:val="auto"/>
          <w:sz w:val="22"/>
          <w:szCs w:val="22"/>
        </w:rPr>
        <w:t>  to</w:t>
      </w:r>
      <w:proofErr w:type="gramEnd"/>
      <w:r w:rsidRPr="003A011A">
        <w:rPr>
          <w:rFonts w:ascii="Calibri" w:eastAsia="SimSun" w:hAnsi="Calibri"/>
          <w:color w:val="auto"/>
          <w:sz w:val="22"/>
          <w:szCs w:val="22"/>
        </w:rPr>
        <w:t xml:space="preserve"> monitor the implementation of the </w:t>
      </w:r>
      <w:hyperlink r:id="rId21" w:history="1">
        <w:r w:rsidRPr="003A011A">
          <w:rPr>
            <w:rFonts w:ascii="Calibri" w:eastAsia="SimSun" w:hAnsi="Calibri"/>
            <w:color w:val="auto"/>
            <w:sz w:val="22"/>
            <w:szCs w:val="22"/>
            <w:u w:val="single"/>
          </w:rPr>
          <w:t>Global Plan of Action for Animal Genetic Resources</w:t>
        </w:r>
      </w:hyperlink>
      <w:r w:rsidRPr="003A011A">
        <w:rPr>
          <w:rFonts w:ascii="Calibri" w:eastAsia="SimSun" w:hAnsi="Calibri"/>
          <w:color w:val="auto"/>
          <w:sz w:val="22"/>
          <w:szCs w:val="22"/>
        </w:rPr>
        <w:t xml:space="preserve">. In this respect the indicator is presented in the “Status and Trends of Animal Genetic Rescources-2014” (see </w:t>
      </w:r>
      <w:hyperlink r:id="rId22" w:history="1">
        <w:r w:rsidRPr="003A011A">
          <w:rPr>
            <w:rFonts w:ascii="Calibri" w:eastAsia="SimSun" w:hAnsi="Calibri"/>
            <w:bCs/>
            <w:color w:val="auto"/>
            <w:sz w:val="22"/>
            <w:szCs w:val="22"/>
            <w:u w:val="single"/>
          </w:rPr>
          <w:t>http://www.fao.org/3/a-mm278e.pdf</w:t>
        </w:r>
      </w:hyperlink>
      <w:r w:rsidRPr="003A011A">
        <w:rPr>
          <w:rFonts w:ascii="Calibri" w:eastAsia="SimSun" w:hAnsi="Calibri"/>
          <w:color w:val="auto"/>
          <w:sz w:val="22"/>
          <w:szCs w:val="22"/>
        </w:rPr>
        <w:t>).</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This indicator is also proposed for the Target 15.5 under SDG, and it serves also as an indicator for the Aichi Target 13 “</w:t>
      </w:r>
      <w:r w:rsidRPr="003A011A">
        <w:rPr>
          <w:rFonts w:ascii="Calibri" w:eastAsia="SimSun" w:hAnsi="Calibri"/>
          <w:b/>
          <w:bCs/>
          <w:color w:val="auto"/>
          <w:sz w:val="22"/>
          <w:szCs w:val="22"/>
        </w:rPr>
        <w:t>Genetic Diversity of Terrestrial Domesticated Animals”</w:t>
      </w:r>
      <w:r w:rsidRPr="003A011A">
        <w:rPr>
          <w:rFonts w:ascii="Calibri" w:eastAsia="SimSun" w:hAnsi="Calibri"/>
          <w:color w:val="auto"/>
          <w:sz w:val="22"/>
          <w:szCs w:val="22"/>
        </w:rPr>
        <w:t xml:space="preserve"> under the Convention on Biological Diversity (CBD). It is described on the webpage of the Biodiversity Indicators Partnership (BIP), a network of organizations which have come together to provide the most up-to date biodiversity information possible for tracking progress towards the Aichi Targets (</w:t>
      </w:r>
      <w:hyperlink r:id="rId23" w:history="1">
        <w:r w:rsidRPr="003A011A">
          <w:rPr>
            <w:rFonts w:ascii="Calibri" w:eastAsia="SimSun" w:hAnsi="Calibri"/>
            <w:color w:val="auto"/>
            <w:sz w:val="22"/>
            <w:szCs w:val="22"/>
            <w:u w:val="single"/>
          </w:rPr>
          <w:t>http://www.bipindicators.net/domesticatedanimals</w:t>
        </w:r>
      </w:hyperlink>
      <w:r w:rsidRPr="003A011A">
        <w:rPr>
          <w:rFonts w:ascii="Calibri" w:eastAsia="SimSun" w:hAnsi="Calibri"/>
          <w:color w:val="auto"/>
          <w:sz w:val="22"/>
          <w:szCs w:val="22"/>
        </w:rPr>
        <w:t>). Further, it is presented in the Global Biodiversity Outlook 4, page 91 (see</w:t>
      </w:r>
      <w:r w:rsidRPr="003A011A">
        <w:rPr>
          <w:rFonts w:ascii="Calibri" w:eastAsia="SimSun" w:hAnsi="Calibri"/>
          <w:bCs/>
          <w:color w:val="auto"/>
          <w:sz w:val="22"/>
          <w:szCs w:val="22"/>
        </w:rPr>
        <w:t xml:space="preserve"> </w:t>
      </w:r>
      <w:hyperlink r:id="rId24" w:history="1">
        <w:r w:rsidRPr="003A011A">
          <w:rPr>
            <w:rFonts w:ascii="Calibri" w:eastAsia="SimSun" w:hAnsi="Calibri"/>
            <w:bCs/>
            <w:color w:val="auto"/>
            <w:sz w:val="22"/>
            <w:szCs w:val="22"/>
            <w:u w:val="single"/>
          </w:rPr>
          <w:t>http://www.cbd.int/gbo/gbo4/publication/gbo4-en-lr.pdf</w:t>
        </w:r>
      </w:hyperlink>
      <w:r w:rsidRPr="003A011A">
        <w:rPr>
          <w:rFonts w:ascii="Calibri" w:eastAsia="SimSun" w:hAnsi="Calibri"/>
          <w:bCs/>
          <w:color w:val="auto"/>
          <w:sz w:val="22"/>
          <w:szCs w:val="22"/>
        </w:rPr>
        <w:t>)</w:t>
      </w:r>
      <w:r w:rsidRPr="003A011A">
        <w:rPr>
          <w:rFonts w:ascii="Calibri" w:eastAsia="SimSun" w:hAnsi="Calibri"/>
          <w:b/>
          <w:bCs/>
          <w:color w:val="auto"/>
          <w:sz w:val="22"/>
          <w:szCs w:val="22"/>
        </w:rPr>
        <w:t xml:space="preserve"> </w:t>
      </w:r>
      <w:r w:rsidRPr="003A011A">
        <w:rPr>
          <w:rFonts w:ascii="Calibri" w:eastAsia="SimSun" w:hAnsi="Calibri"/>
          <w:color w:val="auto"/>
          <w:sz w:val="22"/>
          <w:szCs w:val="22"/>
        </w:rPr>
        <w:t>which is an output of the processes under the CBD.</w:t>
      </w:r>
    </w:p>
    <w:p w:rsidR="003A011A" w:rsidRPr="003A011A" w:rsidRDefault="003A011A" w:rsidP="003A011A">
      <w:pPr>
        <w:spacing w:after="200" w:line="276" w:lineRule="auto"/>
        <w:ind w:right="-285"/>
        <w:jc w:val="both"/>
        <w:rPr>
          <w:rFonts w:ascii="Calibri" w:eastAsia="SimSun" w:hAnsi="Calibri"/>
          <w:b/>
          <w:bCs/>
          <w:color w:val="auto"/>
          <w:sz w:val="22"/>
          <w:szCs w:val="22"/>
        </w:rPr>
      </w:pPr>
      <w:r w:rsidRPr="003A011A">
        <w:rPr>
          <w:rFonts w:ascii="Calibri" w:eastAsia="SimSun" w:hAnsi="Calibri"/>
          <w:color w:val="auto"/>
          <w:sz w:val="22"/>
          <w:szCs w:val="22"/>
        </w:rPr>
        <w:t>Risk classes are defined as follows</w:t>
      </w:r>
      <w:r w:rsidRPr="003A011A">
        <w:rPr>
          <w:rFonts w:ascii="Calibri" w:eastAsia="SimSun" w:hAnsi="Calibri"/>
          <w:color w:val="auto"/>
          <w:sz w:val="22"/>
          <w:szCs w:val="22"/>
          <w:vertAlign w:val="superscript"/>
        </w:rPr>
        <w:footnoteReference w:id="8"/>
      </w:r>
      <w:r w:rsidRPr="003A011A">
        <w:rPr>
          <w:rFonts w:ascii="Calibri" w:eastAsia="SimSun" w:hAnsi="Calibri"/>
          <w:color w:val="auto"/>
          <w:sz w:val="22"/>
          <w:szCs w:val="22"/>
        </w:rPr>
        <w:t>:</w:t>
      </w:r>
    </w:p>
    <w:p w:rsidR="003A011A" w:rsidRPr="003A011A" w:rsidRDefault="003A011A" w:rsidP="003A011A">
      <w:pPr>
        <w:numPr>
          <w:ilvl w:val="0"/>
          <w:numId w:val="12"/>
        </w:numPr>
        <w:suppressAutoHyphens/>
        <w:spacing w:after="120" w:line="276" w:lineRule="auto"/>
        <w:ind w:right="-285"/>
        <w:contextualSpacing/>
        <w:jc w:val="both"/>
        <w:rPr>
          <w:rFonts w:ascii="Calibri" w:eastAsia="SimSun" w:hAnsi="Calibri"/>
          <w:color w:val="auto"/>
          <w:sz w:val="22"/>
          <w:szCs w:val="22"/>
          <w:lang w:eastAsia="en-GB"/>
        </w:rPr>
      </w:pPr>
      <w:proofErr w:type="gramStart"/>
      <w:r w:rsidRPr="003A011A">
        <w:rPr>
          <w:rFonts w:ascii="Calibri" w:eastAsia="SimSun" w:hAnsi="Calibri"/>
          <w:b/>
          <w:bCs/>
          <w:color w:val="auto"/>
          <w:sz w:val="22"/>
          <w:szCs w:val="22"/>
          <w:lang w:eastAsia="en-GB"/>
        </w:rPr>
        <w:t>extinct</w:t>
      </w:r>
      <w:proofErr w:type="gramEnd"/>
      <w:r w:rsidRPr="003A011A">
        <w:rPr>
          <w:rFonts w:ascii="Calibri" w:eastAsia="SimSun" w:hAnsi="Calibri"/>
          <w:color w:val="auto"/>
          <w:sz w:val="22"/>
          <w:szCs w:val="22"/>
          <w:lang w:eastAsia="en-GB"/>
        </w:rPr>
        <w:t xml:space="preserve">: a breed is categorized as extinct when there are no breeding males or breeding females </w:t>
      </w:r>
      <w:r w:rsidRPr="003A011A">
        <w:rPr>
          <w:rFonts w:ascii="Calibri" w:eastAsia="SimSun" w:hAnsi="Calibri"/>
          <w:color w:val="auto"/>
          <w:sz w:val="22"/>
          <w:szCs w:val="22"/>
        </w:rPr>
        <w:t xml:space="preserve">remaining. Nevertheless, genetic material might have </w:t>
      </w:r>
      <w:r w:rsidRPr="003A011A">
        <w:rPr>
          <w:rFonts w:ascii="Calibri" w:eastAsia="SimSun" w:hAnsi="Calibri"/>
          <w:color w:val="auto"/>
          <w:sz w:val="22"/>
          <w:szCs w:val="22"/>
          <w:lang w:eastAsia="en-GB"/>
        </w:rPr>
        <w:t>been cryo-conserved which would allow recreation of the breed. In reality, extinction may be realized well before the loss of the last animal or genetic material.</w:t>
      </w:r>
    </w:p>
    <w:p w:rsidR="003A011A" w:rsidRPr="003A011A" w:rsidRDefault="003A011A" w:rsidP="003A011A">
      <w:pPr>
        <w:numPr>
          <w:ilvl w:val="0"/>
          <w:numId w:val="12"/>
        </w:numPr>
        <w:suppressAutoHyphens/>
        <w:spacing w:after="120" w:line="276" w:lineRule="auto"/>
        <w:ind w:right="-285"/>
        <w:contextualSpacing/>
        <w:jc w:val="both"/>
        <w:rPr>
          <w:rFonts w:ascii="Calibri" w:eastAsia="SimSun" w:hAnsi="Calibri"/>
          <w:color w:val="auto"/>
          <w:sz w:val="22"/>
          <w:szCs w:val="22"/>
          <w:lang w:eastAsia="en-GB"/>
        </w:rPr>
      </w:pPr>
      <w:r w:rsidRPr="003A011A">
        <w:rPr>
          <w:rFonts w:ascii="Calibri" w:eastAsia="SimSun" w:hAnsi="Calibri"/>
          <w:b/>
          <w:bCs/>
          <w:color w:val="auto"/>
          <w:sz w:val="22"/>
          <w:szCs w:val="22"/>
          <w:lang w:eastAsia="en-GB"/>
        </w:rPr>
        <w:t>critical</w:t>
      </w:r>
      <w:r w:rsidRPr="003A011A">
        <w:rPr>
          <w:rFonts w:ascii="Calibri" w:eastAsia="SimSun" w:hAnsi="Calibri"/>
          <w:color w:val="auto"/>
          <w:sz w:val="22"/>
          <w:szCs w:val="22"/>
          <w:lang w:eastAsia="en-GB"/>
        </w:rPr>
        <w:t xml:space="preserve">: a breed is categorized as critical if the total number of breeding females is less than or equal to 100 or the total number of breeding males is less than or equal to five; or the overall </w:t>
      </w:r>
      <w:r w:rsidRPr="003A011A">
        <w:rPr>
          <w:rFonts w:ascii="Calibri" w:eastAsia="SimSun" w:hAnsi="Calibri"/>
          <w:color w:val="auto"/>
          <w:sz w:val="22"/>
          <w:szCs w:val="22"/>
          <w:lang w:eastAsia="en-GB"/>
        </w:rPr>
        <w:lastRenderedPageBreak/>
        <w:t>population size is less than or equal to 120 and decreasing and the percentage of females being bred to males of the same breed is below 80 percent, and it is not classified as extinct.</w:t>
      </w:r>
    </w:p>
    <w:p w:rsidR="003A011A" w:rsidRPr="003A011A" w:rsidRDefault="003A011A" w:rsidP="003A011A">
      <w:pPr>
        <w:numPr>
          <w:ilvl w:val="0"/>
          <w:numId w:val="12"/>
        </w:numPr>
        <w:suppressAutoHyphens/>
        <w:spacing w:after="120" w:line="276" w:lineRule="auto"/>
        <w:ind w:right="-285"/>
        <w:contextualSpacing/>
        <w:jc w:val="both"/>
        <w:rPr>
          <w:rFonts w:ascii="Calibri" w:eastAsia="SimSun" w:hAnsi="Calibri"/>
          <w:color w:val="auto"/>
          <w:sz w:val="22"/>
          <w:szCs w:val="22"/>
          <w:lang w:eastAsia="en-GB"/>
        </w:rPr>
      </w:pPr>
      <w:proofErr w:type="gramStart"/>
      <w:r w:rsidRPr="003A011A">
        <w:rPr>
          <w:rFonts w:ascii="Calibri" w:eastAsia="SimSun" w:hAnsi="Calibri"/>
          <w:b/>
          <w:bCs/>
          <w:color w:val="1A1A1A"/>
          <w:sz w:val="22"/>
          <w:szCs w:val="22"/>
          <w:lang w:eastAsia="en-GB"/>
        </w:rPr>
        <w:t>critical-maintained</w:t>
      </w:r>
      <w:proofErr w:type="gramEnd"/>
      <w:r w:rsidRPr="003A011A">
        <w:rPr>
          <w:rFonts w:ascii="Calibri" w:eastAsia="SimSun" w:hAnsi="Calibri"/>
          <w:color w:val="1A1A1A"/>
          <w:sz w:val="22"/>
          <w:szCs w:val="22"/>
          <w:lang w:eastAsia="en-GB"/>
        </w:rPr>
        <w:t xml:space="preserve">: are those critical populations for which active conservation </w:t>
      </w:r>
      <w:r w:rsidRPr="003A011A">
        <w:rPr>
          <w:rFonts w:ascii="Calibri" w:eastAsia="SimSun" w:hAnsi="Calibri"/>
          <w:color w:val="auto"/>
          <w:sz w:val="22"/>
          <w:szCs w:val="22"/>
          <w:lang w:eastAsia="en-GB"/>
        </w:rPr>
        <w:t>programmes are in place or populations are maintained by commercial companies or research institutions.</w:t>
      </w:r>
    </w:p>
    <w:p w:rsidR="003A011A" w:rsidRPr="003A011A" w:rsidRDefault="003A011A" w:rsidP="003A011A">
      <w:pPr>
        <w:numPr>
          <w:ilvl w:val="0"/>
          <w:numId w:val="12"/>
        </w:numPr>
        <w:suppressAutoHyphens/>
        <w:spacing w:after="120" w:line="276" w:lineRule="auto"/>
        <w:ind w:right="-285"/>
        <w:contextualSpacing/>
        <w:jc w:val="both"/>
        <w:rPr>
          <w:rFonts w:ascii="Calibri" w:eastAsia="SimSun" w:hAnsi="Calibri"/>
          <w:color w:val="auto"/>
          <w:sz w:val="22"/>
          <w:szCs w:val="22"/>
          <w:lang w:eastAsia="en-GB"/>
        </w:rPr>
      </w:pPr>
      <w:r w:rsidRPr="003A011A">
        <w:rPr>
          <w:rFonts w:ascii="Calibri" w:eastAsia="SimSun" w:hAnsi="Calibri"/>
          <w:b/>
          <w:bCs/>
          <w:color w:val="auto"/>
          <w:sz w:val="22"/>
          <w:szCs w:val="22"/>
          <w:lang w:eastAsia="en-GB"/>
        </w:rPr>
        <w:t>endangered</w:t>
      </w:r>
      <w:r w:rsidRPr="003A011A">
        <w:rPr>
          <w:rFonts w:ascii="Calibri" w:eastAsia="SimSun" w:hAnsi="Calibri"/>
          <w:color w:val="auto"/>
          <w:sz w:val="22"/>
          <w:szCs w:val="22"/>
          <w:lang w:eastAsia="en-GB"/>
        </w:rPr>
        <w:t>: a breed is categorized as endangered if the total number of breeding females is greater</w:t>
      </w:r>
      <w:r w:rsidRPr="003A011A">
        <w:rPr>
          <w:rFonts w:ascii="Calibri" w:eastAsia="SimSun" w:hAnsi="Calibri"/>
          <w:color w:val="auto"/>
          <w:sz w:val="22"/>
          <w:szCs w:val="22"/>
        </w:rPr>
        <w:t xml:space="preserve"> </w:t>
      </w:r>
      <w:r w:rsidRPr="003A011A">
        <w:rPr>
          <w:rFonts w:ascii="Calibri" w:eastAsia="SimSun" w:hAnsi="Calibri"/>
          <w:color w:val="auto"/>
          <w:sz w:val="22"/>
          <w:szCs w:val="22"/>
          <w:lang w:eastAsia="en-GB"/>
        </w:rPr>
        <w:t>than 100 and less than or equal to 1 000 or the total number of breeding males is less than or equal to 20 and greater than five; or the overall population size is greater than 80 and less than 100 and increasing and the percentage of females being bred to males of the same breed is above 80 percent; or the overall  population size is greater than 1 000 and less than or equal to 1 200 and decreasing and the percentage of females being bred to males of the same breed is below 80 percent, and it is not assigned to any of above categories.</w:t>
      </w:r>
    </w:p>
    <w:p w:rsidR="003A011A" w:rsidRPr="003A011A" w:rsidRDefault="003A011A" w:rsidP="003A011A">
      <w:pPr>
        <w:numPr>
          <w:ilvl w:val="0"/>
          <w:numId w:val="12"/>
        </w:numPr>
        <w:suppressAutoHyphens/>
        <w:spacing w:after="120" w:line="276" w:lineRule="auto"/>
        <w:ind w:right="-285"/>
        <w:contextualSpacing/>
        <w:jc w:val="both"/>
        <w:rPr>
          <w:rFonts w:ascii="Calibri" w:eastAsia="SimSun" w:hAnsi="Calibri"/>
          <w:color w:val="auto"/>
          <w:sz w:val="22"/>
          <w:szCs w:val="22"/>
          <w:lang w:eastAsia="en-GB"/>
        </w:rPr>
      </w:pPr>
      <w:proofErr w:type="gramStart"/>
      <w:r w:rsidRPr="003A011A">
        <w:rPr>
          <w:rFonts w:ascii="Calibri" w:eastAsia="SimSun" w:hAnsi="Calibri"/>
          <w:b/>
          <w:color w:val="auto"/>
          <w:sz w:val="22"/>
          <w:szCs w:val="22"/>
          <w:lang w:eastAsia="en-GB"/>
        </w:rPr>
        <w:t>endangered-maintained</w:t>
      </w:r>
      <w:proofErr w:type="gramEnd"/>
      <w:r w:rsidRPr="003A011A">
        <w:rPr>
          <w:rFonts w:ascii="Calibri" w:eastAsia="SimSun" w:hAnsi="Calibri"/>
          <w:b/>
          <w:color w:val="auto"/>
          <w:sz w:val="22"/>
          <w:szCs w:val="22"/>
          <w:lang w:eastAsia="en-GB"/>
        </w:rPr>
        <w:t xml:space="preserve">: </w:t>
      </w:r>
      <w:r w:rsidRPr="003A011A">
        <w:rPr>
          <w:rFonts w:ascii="Calibri" w:eastAsia="SimSun" w:hAnsi="Calibri"/>
          <w:color w:val="auto"/>
          <w:sz w:val="22"/>
          <w:szCs w:val="22"/>
          <w:lang w:eastAsia="en-GB"/>
        </w:rPr>
        <w:t>are those endangered populations for which active conservation programmes are in place or populations are maintained by commercial companies or research institutions.</w:t>
      </w:r>
    </w:p>
    <w:p w:rsidR="003A011A" w:rsidRPr="003A011A" w:rsidRDefault="003A011A" w:rsidP="003A011A">
      <w:pPr>
        <w:numPr>
          <w:ilvl w:val="0"/>
          <w:numId w:val="12"/>
        </w:numPr>
        <w:suppressAutoHyphens/>
        <w:spacing w:after="120" w:line="276" w:lineRule="auto"/>
        <w:ind w:right="-285"/>
        <w:contextualSpacing/>
        <w:jc w:val="both"/>
        <w:rPr>
          <w:rFonts w:ascii="Calibri" w:eastAsia="SimSun" w:hAnsi="Calibri"/>
          <w:color w:val="auto"/>
          <w:sz w:val="22"/>
          <w:szCs w:val="22"/>
          <w:lang w:eastAsia="en-GB"/>
        </w:rPr>
      </w:pPr>
      <w:proofErr w:type="gramStart"/>
      <w:r w:rsidRPr="003A011A">
        <w:rPr>
          <w:rFonts w:ascii="Calibri" w:eastAsia="SimSun" w:hAnsi="Calibri"/>
          <w:b/>
          <w:color w:val="auto"/>
          <w:sz w:val="22"/>
          <w:szCs w:val="22"/>
          <w:lang w:eastAsia="en-GB"/>
        </w:rPr>
        <w:t>breed</w:t>
      </w:r>
      <w:proofErr w:type="gramEnd"/>
      <w:r w:rsidRPr="003A011A">
        <w:rPr>
          <w:rFonts w:ascii="Calibri" w:eastAsia="SimSun" w:hAnsi="Calibri"/>
          <w:b/>
          <w:color w:val="auto"/>
          <w:sz w:val="22"/>
          <w:szCs w:val="22"/>
          <w:lang w:eastAsia="en-GB"/>
        </w:rPr>
        <w:t xml:space="preserve"> at risk: </w:t>
      </w:r>
      <w:r w:rsidRPr="003A011A">
        <w:rPr>
          <w:rFonts w:ascii="Calibri" w:eastAsia="SimSun" w:hAnsi="Calibri"/>
          <w:color w:val="auto"/>
          <w:sz w:val="22"/>
          <w:szCs w:val="22"/>
          <w:lang w:eastAsia="en-GB"/>
        </w:rPr>
        <w:t xml:space="preserve">a breed that has been classified as either critical, critical-maintained, endangered, or endangered-maintained. </w:t>
      </w:r>
    </w:p>
    <w:p w:rsidR="003A011A" w:rsidRPr="003A011A" w:rsidRDefault="003A011A" w:rsidP="003A011A">
      <w:pPr>
        <w:keepNext/>
        <w:numPr>
          <w:ilvl w:val="0"/>
          <w:numId w:val="6"/>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How is the indicator linked to the specific TARGET as worded in the OWG Report?</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The indicator has a direct link to “biodiversity” as animal or livestock genetic resources represent an integral part of agricultural ecosystems and biodiversity as such.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Further there are indirect links to “malnutrition”:  Animal genetic resources for food and agriculture are an essential part of the biological basis for world food security, and contribute to the livelihoods of over a thousand million people. A diverse resource base is critical for human survival and well-being, and a contribution to the eradication of hunger: animal genetic resources are crucial in adapting to changing socio-economic and environmental conditions, including climate change. They are the animal breeder’s raw material and amongst the farmer’s most essential inputs. They are essential for sustainable agricultural production.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No increase of the percentage of breeds being at risk or being extinct is directly related to “</w:t>
      </w:r>
      <w:r w:rsidRPr="003A011A">
        <w:rPr>
          <w:rFonts w:ascii="Calibri" w:eastAsia="SimSun" w:hAnsi="Calibri"/>
          <w:bCs/>
          <w:color w:val="auto"/>
          <w:sz w:val="22"/>
          <w:szCs w:val="22"/>
        </w:rPr>
        <w:t>halt the loss of biodiversity”.</w:t>
      </w:r>
      <w:r w:rsidRPr="003A011A">
        <w:rPr>
          <w:rFonts w:ascii="Calibri" w:eastAsia="SimSun" w:hAnsi="Calibri"/>
          <w:color w:val="auto"/>
          <w:sz w:val="22"/>
          <w:szCs w:val="22"/>
        </w:rPr>
        <w:t xml:space="preserve"> </w:t>
      </w:r>
    </w:p>
    <w:p w:rsidR="003A011A" w:rsidRPr="003A011A" w:rsidRDefault="003A011A" w:rsidP="003A011A">
      <w:pPr>
        <w:keepNext/>
        <w:numPr>
          <w:ilvl w:val="0"/>
          <w:numId w:val="6"/>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Does the indicator already exist and is it regularly reported?</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Yes, the indicator exists. It is calculated by FAO/AGAG and reported biannually to the Commission of Genetic Resources of Food and Agriculture. The most recent report is available at: </w:t>
      </w:r>
      <w:hyperlink r:id="rId25" w:history="1">
        <w:r w:rsidRPr="003A011A">
          <w:rPr>
            <w:rFonts w:ascii="Calibri" w:eastAsia="SimSun" w:hAnsi="Calibri"/>
            <w:bCs/>
            <w:color w:val="auto"/>
            <w:sz w:val="22"/>
            <w:szCs w:val="22"/>
            <w:u w:val="single"/>
          </w:rPr>
          <w:t>http://www.fao.org/3/a-mm278e.pdf</w:t>
        </w:r>
      </w:hyperlink>
      <w:r w:rsidRPr="003A011A">
        <w:rPr>
          <w:rFonts w:ascii="Calibri" w:eastAsia="SimSun" w:hAnsi="Calibri"/>
          <w:color w:val="auto"/>
          <w:sz w:val="22"/>
          <w:szCs w:val="22"/>
        </w:rPr>
        <w:t>. The links to the BIP and CBD are provided above. FAO is a partner in the BIP and provides information on the indicator directly to the partnership.</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bCs/>
          <w:color w:val="auto"/>
          <w:sz w:val="22"/>
          <w:szCs w:val="22"/>
        </w:rPr>
        <w:t xml:space="preserve">The underlying data base DAD-IS is maintained </w:t>
      </w:r>
      <w:r w:rsidRPr="003A011A">
        <w:rPr>
          <w:rFonts w:ascii="Calibri" w:eastAsia="SimSun" w:hAnsi="Calibri"/>
          <w:color w:val="auto"/>
          <w:sz w:val="22"/>
          <w:szCs w:val="22"/>
        </w:rPr>
        <w:t xml:space="preserve">by </w:t>
      </w:r>
      <w:r w:rsidRPr="003A011A">
        <w:rPr>
          <w:rFonts w:ascii="Calibri" w:eastAsia="SimSun" w:hAnsi="Calibri"/>
          <w:bCs/>
          <w:color w:val="auto"/>
          <w:sz w:val="22"/>
          <w:szCs w:val="22"/>
        </w:rPr>
        <w:t xml:space="preserve">FAO/AGAG (see </w:t>
      </w:r>
      <w:hyperlink r:id="rId26" w:history="1">
        <w:r w:rsidRPr="003A011A">
          <w:rPr>
            <w:rFonts w:ascii="Calibri" w:eastAsia="SimSun" w:hAnsi="Calibri"/>
            <w:bCs/>
            <w:color w:val="auto"/>
            <w:sz w:val="22"/>
            <w:szCs w:val="22"/>
            <w:u w:val="single"/>
          </w:rPr>
          <w:t>http://dad.fao.org/</w:t>
        </w:r>
      </w:hyperlink>
      <w:r w:rsidRPr="003A011A">
        <w:rPr>
          <w:rFonts w:ascii="Calibri" w:eastAsia="SimSun" w:hAnsi="Calibri"/>
          <w:color w:val="auto"/>
          <w:sz w:val="22"/>
          <w:szCs w:val="22"/>
        </w:rPr>
        <w:t xml:space="preserve">). The contact person for DAD-IS is Ms Roswitha Baumung. Data are officially provided by countries. Data entry is possible all over the year.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Sustainability of the indicator production and its use within a meaningful global monitoring framework is strongly dependent on the maintenance and development of DAD-IS by FAO.</w:t>
      </w:r>
    </w:p>
    <w:p w:rsidR="003A011A" w:rsidRPr="003A011A" w:rsidRDefault="003A011A" w:rsidP="003A011A">
      <w:pPr>
        <w:keepNext/>
        <w:numPr>
          <w:ilvl w:val="0"/>
          <w:numId w:val="6"/>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lastRenderedPageBreak/>
        <w:t>Comment on the reliability, potential coverage, comparability across countries, and the possibility to compute the indicator at sub-national level.</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Reliability</w:t>
      </w:r>
    </w:p>
    <w:p w:rsidR="003A011A" w:rsidRPr="003A011A" w:rsidRDefault="003A011A" w:rsidP="003A011A">
      <w:pPr>
        <w:spacing w:after="200" w:line="276" w:lineRule="auto"/>
        <w:ind w:right="-285"/>
        <w:jc w:val="both"/>
        <w:rPr>
          <w:rFonts w:ascii="Calibri" w:eastAsia="SimSun" w:hAnsi="Calibri"/>
          <w:color w:val="auto"/>
          <w:sz w:val="22"/>
          <w:szCs w:val="22"/>
          <w:lang w:eastAsia="en-GB"/>
        </w:rPr>
      </w:pPr>
      <w:r w:rsidRPr="003A011A">
        <w:rPr>
          <w:rFonts w:ascii="Calibri" w:eastAsia="SimSun" w:hAnsi="Calibri"/>
          <w:color w:val="auto"/>
          <w:sz w:val="22"/>
          <w:szCs w:val="22"/>
          <w:lang w:eastAsia="en-GB"/>
        </w:rPr>
        <w:t>The reliability of measures of population size for breeds varies across countries and species (similarly to what is the case for population size of livestock species provided in CountrySTAT). However, rough estimates on country level are considered to be sufficient to reliably detect global and regional trends.</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Coverage</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The Global Databank for Animal Genetic Resources currently contains data from 182 countries and 38 species. The total number of national breed populations recorded in the Global Databank has increased dramatically</w:t>
      </w:r>
      <w:proofErr w:type="gramStart"/>
      <w:r w:rsidRPr="003A011A">
        <w:rPr>
          <w:rFonts w:ascii="Calibri" w:eastAsia="SimSun" w:hAnsi="Calibri"/>
          <w:color w:val="auto"/>
          <w:sz w:val="22"/>
          <w:szCs w:val="22"/>
        </w:rPr>
        <w:t>  since</w:t>
      </w:r>
      <w:proofErr w:type="gramEnd"/>
      <w:r w:rsidRPr="003A011A">
        <w:rPr>
          <w:rFonts w:ascii="Calibri" w:eastAsia="SimSun" w:hAnsi="Calibri"/>
          <w:color w:val="auto"/>
          <w:sz w:val="22"/>
          <w:szCs w:val="22"/>
        </w:rPr>
        <w:t xml:space="preserve"> 1993 (from 2 716 national breed populations to 14 869 and from 131 countries to 182). The total number of mammalian national breed populations recorded in June 2014 was 11 062. The total number of avian national breed populations recorded in 2014 was 3 807. However, breed-related information remains far from complete. For almost 60 percent of all reported breeds, risk status is not known because of missing population data or lack of recent updates. Generally data collection should be possible in all countries. Updating of population size data at least each 10 years is needed for the definition of the risk classes. </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Comparability across countries</w:t>
      </w:r>
    </w:p>
    <w:p w:rsidR="003A011A" w:rsidRPr="003A011A" w:rsidRDefault="003A011A" w:rsidP="003A011A">
      <w:pPr>
        <w:spacing w:after="200" w:line="276" w:lineRule="auto"/>
        <w:ind w:right="-285"/>
        <w:jc w:val="both"/>
        <w:rPr>
          <w:rFonts w:ascii="Calibri" w:eastAsia="SimSun" w:hAnsi="Calibri"/>
          <w:b/>
          <w:bCs/>
          <w:i/>
          <w:iCs/>
          <w:color w:val="auto"/>
          <w:sz w:val="22"/>
          <w:szCs w:val="22"/>
        </w:rPr>
      </w:pPr>
      <w:r w:rsidRPr="003A011A">
        <w:rPr>
          <w:rFonts w:ascii="Calibri" w:eastAsia="SimSun" w:hAnsi="Calibri"/>
          <w:color w:val="auto"/>
          <w:sz w:val="22"/>
          <w:szCs w:val="22"/>
        </w:rPr>
        <w:t>Completely comparable as calculation is done in the same way for all countries and the same definitions on risk classification is applied.</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 xml:space="preserve">Sub-national estimates </w:t>
      </w:r>
    </w:p>
    <w:p w:rsidR="003A011A" w:rsidRPr="003A011A" w:rsidRDefault="003A011A" w:rsidP="003A011A">
      <w:pPr>
        <w:spacing w:after="200" w:line="276" w:lineRule="auto"/>
        <w:ind w:right="-285"/>
        <w:jc w:val="both"/>
        <w:rPr>
          <w:rFonts w:ascii="Calibri" w:eastAsia="SimSun" w:hAnsi="Calibri"/>
          <w:b/>
          <w:bCs/>
          <w:i/>
          <w:iCs/>
          <w:color w:val="auto"/>
          <w:sz w:val="22"/>
          <w:szCs w:val="22"/>
        </w:rPr>
      </w:pPr>
      <w:r w:rsidRPr="003A011A">
        <w:rPr>
          <w:rFonts w:ascii="Calibri" w:eastAsia="SimSun" w:hAnsi="Calibri"/>
          <w:color w:val="auto"/>
          <w:sz w:val="22"/>
          <w:szCs w:val="22"/>
        </w:rPr>
        <w:t>Sub-national estimates can be obtained with regard to the risk status of each national breed population and species. Results can be presented at the national, regional and global levels.</w:t>
      </w:r>
    </w:p>
    <w:p w:rsidR="003A011A" w:rsidRPr="003A011A" w:rsidRDefault="003A011A" w:rsidP="003A011A">
      <w:pPr>
        <w:keepNext/>
        <w:numPr>
          <w:ilvl w:val="0"/>
          <w:numId w:val="6"/>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 xml:space="preserve">   Is there already a baseline value for 2015?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With regard to animal biodiversity, SDG target 2.5 has been formulated as “…the genetic diversity of farmed and domesticated animals is </w:t>
      </w:r>
      <w:r w:rsidRPr="003A011A">
        <w:rPr>
          <w:rFonts w:ascii="Calibri" w:eastAsia="SimSun" w:hAnsi="Calibri"/>
          <w:i/>
          <w:color w:val="auto"/>
          <w:sz w:val="22"/>
          <w:szCs w:val="22"/>
        </w:rPr>
        <w:t>maintained</w:t>
      </w:r>
      <w:r w:rsidRPr="003A011A">
        <w:rPr>
          <w:rFonts w:ascii="Calibri" w:eastAsia="SimSun" w:hAnsi="Calibri"/>
          <w:color w:val="auto"/>
          <w:sz w:val="22"/>
          <w:szCs w:val="22"/>
        </w:rPr>
        <w:t xml:space="preserve">” which is consistent with the target formulation of Aichi Target 13 under the CBD. However the future projections presented in the Global Biodiversity Outlook 4, Figure 131, </w:t>
      </w:r>
      <w:proofErr w:type="gramStart"/>
      <w:r w:rsidRPr="003A011A">
        <w:rPr>
          <w:rFonts w:ascii="Calibri" w:eastAsia="SimSun" w:hAnsi="Calibri"/>
          <w:color w:val="auto"/>
          <w:sz w:val="22"/>
          <w:szCs w:val="22"/>
        </w:rPr>
        <w:t>page 91 (see</w:t>
      </w:r>
      <w:r w:rsidRPr="003A011A">
        <w:rPr>
          <w:rFonts w:ascii="Calibri" w:eastAsia="SimSun" w:hAnsi="Calibri"/>
          <w:b/>
          <w:bCs/>
          <w:color w:val="auto"/>
          <w:sz w:val="22"/>
          <w:szCs w:val="22"/>
        </w:rPr>
        <w:t xml:space="preserve"> </w:t>
      </w:r>
      <w:hyperlink r:id="rId27" w:history="1">
        <w:r w:rsidRPr="003A011A">
          <w:rPr>
            <w:rFonts w:ascii="Calibri" w:eastAsia="SimSun" w:hAnsi="Calibri"/>
            <w:bCs/>
            <w:color w:val="auto"/>
            <w:sz w:val="22"/>
            <w:szCs w:val="22"/>
            <w:u w:val="single"/>
          </w:rPr>
          <w:t>http://www.cbd.int/gbo/gbo4/publication/gbo4-en-lr.pdf</w:t>
        </w:r>
      </w:hyperlink>
      <w:r w:rsidRPr="003A011A">
        <w:rPr>
          <w:rFonts w:ascii="Calibri" w:eastAsia="SimSun" w:hAnsi="Calibri"/>
          <w:bCs/>
          <w:color w:val="auto"/>
          <w:sz w:val="22"/>
          <w:szCs w:val="22"/>
        </w:rPr>
        <w:t xml:space="preserve">) </w:t>
      </w:r>
      <w:r w:rsidRPr="003A011A">
        <w:rPr>
          <w:rFonts w:ascii="Calibri" w:eastAsia="SimSun" w:hAnsi="Calibri"/>
          <w:color w:val="auto"/>
          <w:sz w:val="22"/>
          <w:szCs w:val="22"/>
        </w:rPr>
        <w:t>suggest</w:t>
      </w:r>
      <w:proofErr w:type="gramEnd"/>
      <w:r w:rsidRPr="003A011A">
        <w:rPr>
          <w:rFonts w:ascii="Calibri" w:eastAsia="SimSun" w:hAnsi="Calibri"/>
          <w:color w:val="auto"/>
          <w:sz w:val="22"/>
          <w:szCs w:val="22"/>
        </w:rPr>
        <w:t xml:space="preserve"> to maintain/halt the loss of animal biodiversity may be very challenging. </w:t>
      </w:r>
    </w:p>
    <w:bookmarkStart w:id="58" w:name="_Target_2.a_“Increase"/>
    <w:bookmarkStart w:id="59" w:name="_Toc410657843"/>
    <w:bookmarkStart w:id="60" w:name="_Toc410890067"/>
    <w:bookmarkStart w:id="61" w:name="Target2_a"/>
    <w:bookmarkStart w:id="62" w:name="_Toc410912482"/>
    <w:bookmarkEnd w:id="58"/>
    <w:p w:rsidR="003A011A" w:rsidRPr="003A011A" w:rsidRDefault="003A011A" w:rsidP="003A011A">
      <w:pPr>
        <w:pageBreakBefore/>
        <w:shd w:val="clear" w:color="auto" w:fill="002060"/>
        <w:spacing w:after="200" w:line="276" w:lineRule="auto"/>
        <w:ind w:right="-285"/>
        <w:jc w:val="center"/>
        <w:outlineLvl w:val="0"/>
        <w:rPr>
          <w:rFonts w:ascii="Calibri" w:eastAsia="SimSun" w:hAnsi="Calibri"/>
          <w:b/>
          <w:color w:val="FFFFFF"/>
        </w:rPr>
      </w:pPr>
      <w:r w:rsidRPr="003A011A">
        <w:rPr>
          <w:rFonts w:ascii="Calibri" w:eastAsia="SimSun" w:hAnsi="Calibri"/>
          <w:b/>
          <w:color w:val="FFFFFF"/>
          <w:shd w:val="clear" w:color="auto" w:fill="BFBFBF"/>
        </w:rPr>
        <w:lastRenderedPageBreak/>
        <w:fldChar w:fldCharType="begin"/>
      </w:r>
      <w:r w:rsidRPr="003A011A">
        <w:rPr>
          <w:rFonts w:ascii="Calibri" w:eastAsia="SimSun" w:hAnsi="Calibri"/>
          <w:color w:val="FFFFFF"/>
          <w:shd w:val="clear" w:color="auto" w:fill="BFBFBF"/>
        </w:rPr>
        <w:instrText xml:space="preserve"> HYPERLINK  \l "List_of_indicators" </w:instrText>
      </w:r>
      <w:r w:rsidRPr="003A011A">
        <w:rPr>
          <w:rFonts w:ascii="Calibri" w:eastAsia="SimSun" w:hAnsi="Calibri"/>
          <w:b/>
          <w:color w:val="FFFFFF"/>
          <w:shd w:val="clear" w:color="auto" w:fill="BFBFBF"/>
        </w:rPr>
        <w:fldChar w:fldCharType="separate"/>
      </w:r>
      <w:r w:rsidRPr="003A011A">
        <w:rPr>
          <w:rFonts w:ascii="Calibri" w:eastAsia="SimSun" w:hAnsi="Calibri"/>
          <w:b/>
          <w:color w:val="FFFFFF"/>
          <w:u w:val="single"/>
        </w:rPr>
        <w:t>Target 2.a</w:t>
      </w:r>
      <w:bookmarkEnd w:id="59"/>
      <w:bookmarkEnd w:id="60"/>
      <w:r w:rsidRPr="003A011A">
        <w:rPr>
          <w:rFonts w:ascii="Calibri" w:eastAsia="SimSun" w:hAnsi="Calibri"/>
          <w:b/>
          <w:color w:val="FFFFFF"/>
          <w:shd w:val="clear" w:color="auto" w:fill="BFBFBF"/>
        </w:rPr>
        <w:fldChar w:fldCharType="end"/>
      </w:r>
      <w:r w:rsidRPr="003A011A">
        <w:rPr>
          <w:rFonts w:ascii="Calibri" w:eastAsia="SimSun" w:hAnsi="Calibri"/>
          <w:b/>
          <w:color w:val="FFFFFF"/>
        </w:rPr>
        <w:br/>
      </w:r>
      <w:bookmarkEnd w:id="61"/>
      <w:r w:rsidRPr="003A011A">
        <w:rPr>
          <w:rFonts w:ascii="Calibri" w:eastAsia="SimSun" w:hAnsi="Calibri"/>
          <w:b/>
          <w:color w:val="FFFFFF"/>
        </w:rPr>
        <w:t>“Increase investment, including through enhanced international cooperation, in rural infrastructure, agricultural research and extension services, technology development and plant and livestock gene banks in order to enhance agricultural productivity capacity in developing countries, in particular in least developed countries”</w:t>
      </w:r>
      <w:bookmarkEnd w:id="62"/>
    </w:p>
    <w:p w:rsidR="003A011A" w:rsidRPr="003A011A" w:rsidRDefault="003A011A" w:rsidP="003A011A">
      <w:pPr>
        <w:suppressAutoHyphens/>
        <w:spacing w:after="200" w:line="276" w:lineRule="auto"/>
        <w:ind w:right="-285"/>
        <w:rPr>
          <w:rFonts w:eastAsia="SimSun" w:cs="Calibri"/>
          <w:color w:val="00000A"/>
          <w:szCs w:val="22"/>
          <w:shd w:val="clear" w:color="auto" w:fill="FFFFFF"/>
        </w:rPr>
      </w:pPr>
    </w:p>
    <w:bookmarkStart w:id="63" w:name="Indicator_2_a_1"/>
    <w:p w:rsidR="003A011A" w:rsidRPr="003A011A" w:rsidRDefault="003A011A" w:rsidP="003A011A">
      <w:pPr>
        <w:shd w:val="clear" w:color="auto" w:fill="99FF99"/>
        <w:suppressAutoHyphens/>
        <w:spacing w:after="200" w:line="276" w:lineRule="auto"/>
        <w:ind w:right="-285"/>
        <w:jc w:val="center"/>
        <w:rPr>
          <w:rFonts w:ascii="Calibri" w:eastAsia="SimSun" w:hAnsi="Calibri"/>
          <w:color w:val="auto"/>
        </w:rPr>
      </w:pPr>
      <w:r w:rsidRPr="003A011A">
        <w:rPr>
          <w:rFonts w:eastAsia="SimSun" w:cs="Calibri"/>
          <w:color w:val="auto"/>
          <w:szCs w:val="22"/>
          <w:shd w:val="clear" w:color="auto" w:fill="99FF99"/>
        </w:rPr>
        <w:fldChar w:fldCharType="begin"/>
      </w:r>
      <w:r w:rsidRPr="003A011A">
        <w:rPr>
          <w:rFonts w:eastAsia="SimSun" w:cs="Calibri"/>
          <w:color w:val="auto"/>
          <w:szCs w:val="22"/>
          <w:shd w:val="clear" w:color="auto" w:fill="99FF99"/>
        </w:rPr>
        <w:instrText>HYPERLINK \l "List_of_indicators"</w:instrText>
      </w:r>
      <w:r w:rsidRPr="003A011A">
        <w:rPr>
          <w:rFonts w:eastAsia="SimSun" w:cs="Calibri"/>
          <w:color w:val="auto"/>
          <w:szCs w:val="22"/>
          <w:shd w:val="clear" w:color="auto" w:fill="99FF99"/>
        </w:rPr>
        <w:fldChar w:fldCharType="separate"/>
      </w:r>
      <w:r w:rsidRPr="003A011A">
        <w:rPr>
          <w:rFonts w:ascii="Calibri" w:eastAsia="SimSun" w:hAnsi="Calibri"/>
          <w:b/>
          <w:color w:val="auto"/>
          <w:shd w:val="clear" w:color="auto" w:fill="99FF99"/>
        </w:rPr>
        <w:t>Indicator 2.a.1</w:t>
      </w:r>
      <w:r w:rsidRPr="003A011A">
        <w:rPr>
          <w:rFonts w:eastAsia="SimSun" w:cs="Calibri"/>
          <w:color w:val="auto"/>
          <w:szCs w:val="22"/>
          <w:shd w:val="clear" w:color="auto" w:fill="99FF99"/>
        </w:rPr>
        <w:fldChar w:fldCharType="end"/>
      </w:r>
      <w:bookmarkEnd w:id="63"/>
      <w:r w:rsidRPr="003A011A">
        <w:rPr>
          <w:rFonts w:ascii="Calibri" w:eastAsia="SimSun" w:hAnsi="Calibri"/>
          <w:b/>
          <w:color w:val="auto"/>
          <w:shd w:val="clear" w:color="auto" w:fill="99FF99"/>
        </w:rPr>
        <w:br/>
      </w:r>
      <w:r w:rsidRPr="003A011A">
        <w:rPr>
          <w:rFonts w:ascii="Calibri" w:eastAsia="SimSun" w:hAnsi="Calibri"/>
          <w:color w:val="auto"/>
          <w:shd w:val="clear" w:color="auto" w:fill="99FF99"/>
        </w:rPr>
        <w:t>“Agriculture Orientation Index for Government Expenditures”</w:t>
      </w:r>
      <w:r w:rsidRPr="003A011A">
        <w:rPr>
          <w:rFonts w:ascii="Calibri" w:eastAsia="SimSun" w:hAnsi="Calibri"/>
          <w:color w:val="auto"/>
        </w:rPr>
        <w:tab/>
      </w:r>
    </w:p>
    <w:p w:rsidR="003A011A" w:rsidRPr="003A011A" w:rsidRDefault="003A011A" w:rsidP="003A011A">
      <w:pPr>
        <w:keepNext/>
        <w:spacing w:after="200" w:line="276" w:lineRule="auto"/>
        <w:ind w:left="720" w:right="-285"/>
        <w:jc w:val="both"/>
        <w:outlineLvl w:val="2"/>
        <w:rPr>
          <w:rFonts w:ascii="Calibri" w:eastAsia="SimSun" w:hAnsi="Calibri"/>
          <w:b/>
          <w:color w:val="auto"/>
          <w:sz w:val="22"/>
          <w:szCs w:val="22"/>
        </w:rPr>
      </w:pPr>
      <w:bookmarkStart w:id="64" w:name="_Indicator_2.a.1_“Agriculture"/>
      <w:bookmarkEnd w:id="64"/>
    </w:p>
    <w:p w:rsidR="003A011A" w:rsidRPr="003A011A" w:rsidRDefault="003A011A" w:rsidP="003A011A">
      <w:pPr>
        <w:keepNext/>
        <w:numPr>
          <w:ilvl w:val="0"/>
          <w:numId w:val="7"/>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Precise definition of the indicator</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The Agriculture Orientation Index (AOI) for Government Expenditures is defined as the Agriculture share of Government Expenditures, divided by the Agriculture Share of GDP, where Agriculture refers to the agriculture, forestry, fishing and hunting sector.</w:t>
      </w:r>
    </w:p>
    <w:p w:rsidR="003A011A" w:rsidRPr="003A011A" w:rsidRDefault="003A011A" w:rsidP="003A011A">
      <w:pPr>
        <w:pBdr>
          <w:top w:val="single" w:sz="4" w:space="1" w:color="auto"/>
          <w:left w:val="single" w:sz="4" w:space="4" w:color="auto"/>
          <w:bottom w:val="single" w:sz="4" w:space="1" w:color="auto"/>
          <w:right w:val="single" w:sz="4" w:space="4" w:color="auto"/>
        </w:pBd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br/>
      </w:r>
      <m:oMathPara>
        <m:oMath>
          <m:r>
            <w:rPr>
              <w:rFonts w:ascii="Cambria Math" w:eastAsia="SimSun" w:hAnsi="Cambria Math"/>
              <w:color w:val="auto"/>
              <w:sz w:val="22"/>
              <w:szCs w:val="22"/>
            </w:rPr>
            <m:t>AOI</m:t>
          </m:r>
          <m:r>
            <m:rPr>
              <m:sty m:val="p"/>
            </m:rPr>
            <w:rPr>
              <w:rFonts w:ascii="Cambria Math" w:eastAsia="SimSun" w:hAnsi="Cambria Math"/>
              <w:color w:val="auto"/>
              <w:sz w:val="22"/>
              <w:szCs w:val="22"/>
            </w:rPr>
            <m:t>=</m:t>
          </m:r>
          <m:f>
            <m:fPr>
              <m:ctrlPr>
                <w:rPr>
                  <w:rFonts w:ascii="Cambria Math" w:eastAsia="SimSun" w:hAnsi="Cambria Math"/>
                  <w:color w:val="auto"/>
                  <w:sz w:val="22"/>
                  <w:szCs w:val="22"/>
                </w:rPr>
              </m:ctrlPr>
            </m:fPr>
            <m:num>
              <m:r>
                <w:rPr>
                  <w:rFonts w:ascii="Cambria Math" w:eastAsia="SimSun" w:hAnsi="Cambria Math"/>
                  <w:color w:val="auto"/>
                  <w:sz w:val="22"/>
                  <w:szCs w:val="22"/>
                </w:rPr>
                <m:t>Agriculture</m:t>
              </m:r>
              <m:r>
                <m:rPr>
                  <m:sty m:val="p"/>
                </m:rPr>
                <w:rPr>
                  <w:rFonts w:ascii="Cambria Math" w:eastAsia="SimSun" w:hAnsi="Cambria Math"/>
                  <w:color w:val="auto"/>
                  <w:sz w:val="22"/>
                  <w:szCs w:val="22"/>
                </w:rPr>
                <m:t xml:space="preserve"> </m:t>
              </m:r>
              <m:r>
                <w:rPr>
                  <w:rFonts w:ascii="Cambria Math" w:eastAsia="SimSun" w:hAnsi="Cambria Math"/>
                  <w:color w:val="auto"/>
                  <w:sz w:val="22"/>
                  <w:szCs w:val="22"/>
                </w:rPr>
                <m:t>Share</m:t>
              </m:r>
              <m:r>
                <m:rPr>
                  <m:sty m:val="p"/>
                </m:rPr>
                <w:rPr>
                  <w:rFonts w:ascii="Cambria Math" w:eastAsia="SimSun" w:hAnsi="Cambria Math"/>
                  <w:color w:val="auto"/>
                  <w:sz w:val="22"/>
                  <w:szCs w:val="22"/>
                </w:rPr>
                <m:t xml:space="preserve"> </m:t>
              </m:r>
              <m:r>
                <w:rPr>
                  <w:rFonts w:ascii="Cambria Math" w:eastAsia="SimSun" w:hAnsi="Cambria Math"/>
                  <w:color w:val="auto"/>
                  <w:sz w:val="22"/>
                  <w:szCs w:val="22"/>
                </w:rPr>
                <m:t>of</m:t>
              </m:r>
              <m:r>
                <m:rPr>
                  <m:sty m:val="p"/>
                </m:rPr>
                <w:rPr>
                  <w:rFonts w:ascii="Cambria Math" w:eastAsia="SimSun" w:hAnsi="Cambria Math"/>
                  <w:color w:val="auto"/>
                  <w:sz w:val="22"/>
                  <w:szCs w:val="22"/>
                </w:rPr>
                <m:t xml:space="preserve"> </m:t>
              </m:r>
              <m:r>
                <w:rPr>
                  <w:rFonts w:ascii="Cambria Math" w:eastAsia="SimSun" w:hAnsi="Cambria Math"/>
                  <w:color w:val="auto"/>
                  <w:sz w:val="22"/>
                  <w:szCs w:val="22"/>
                </w:rPr>
                <m:t>Government</m:t>
              </m:r>
              <m:r>
                <m:rPr>
                  <m:sty m:val="p"/>
                </m:rPr>
                <w:rPr>
                  <w:rFonts w:ascii="Cambria Math" w:eastAsia="SimSun" w:hAnsi="Cambria Math"/>
                  <w:color w:val="auto"/>
                  <w:sz w:val="22"/>
                  <w:szCs w:val="22"/>
                </w:rPr>
                <m:t xml:space="preserve"> </m:t>
              </m:r>
              <m:r>
                <w:rPr>
                  <w:rFonts w:ascii="Cambria Math" w:eastAsia="SimSun" w:hAnsi="Cambria Math"/>
                  <w:color w:val="auto"/>
                  <w:sz w:val="22"/>
                  <w:szCs w:val="22"/>
                </w:rPr>
                <m:t>Expenditures</m:t>
              </m:r>
            </m:num>
            <m:den>
              <m:r>
                <w:rPr>
                  <w:rFonts w:ascii="Cambria Math" w:eastAsia="SimSun" w:hAnsi="Cambria Math"/>
                  <w:color w:val="auto"/>
                  <w:sz w:val="22"/>
                  <w:szCs w:val="22"/>
                </w:rPr>
                <m:t>Agriculture</m:t>
              </m:r>
              <m:r>
                <m:rPr>
                  <m:sty m:val="p"/>
                </m:rPr>
                <w:rPr>
                  <w:rFonts w:ascii="Cambria Math" w:eastAsia="SimSun" w:hAnsi="Cambria Math"/>
                  <w:color w:val="auto"/>
                  <w:sz w:val="22"/>
                  <w:szCs w:val="22"/>
                </w:rPr>
                <m:t xml:space="preserve"> </m:t>
              </m:r>
              <m:r>
                <w:rPr>
                  <w:rFonts w:ascii="Cambria Math" w:eastAsia="SimSun" w:hAnsi="Cambria Math"/>
                  <w:color w:val="auto"/>
                  <w:sz w:val="22"/>
                  <w:szCs w:val="22"/>
                </w:rPr>
                <m:t>Share</m:t>
              </m:r>
              <m:r>
                <m:rPr>
                  <m:sty m:val="p"/>
                </m:rPr>
                <w:rPr>
                  <w:rFonts w:ascii="Cambria Math" w:eastAsia="SimSun" w:hAnsi="Cambria Math"/>
                  <w:color w:val="auto"/>
                  <w:sz w:val="22"/>
                  <w:szCs w:val="22"/>
                </w:rPr>
                <m:t xml:space="preserve"> </m:t>
              </m:r>
              <m:r>
                <w:rPr>
                  <w:rFonts w:ascii="Cambria Math" w:eastAsia="SimSun" w:hAnsi="Cambria Math"/>
                  <w:color w:val="auto"/>
                  <w:sz w:val="22"/>
                  <w:szCs w:val="22"/>
                </w:rPr>
                <m:t>of</m:t>
              </m:r>
              <m:r>
                <m:rPr>
                  <m:sty m:val="p"/>
                </m:rPr>
                <w:rPr>
                  <w:rFonts w:ascii="Cambria Math" w:eastAsia="SimSun" w:hAnsi="Cambria Math"/>
                  <w:color w:val="auto"/>
                  <w:sz w:val="22"/>
                  <w:szCs w:val="22"/>
                </w:rPr>
                <m:t xml:space="preserve"> </m:t>
              </m:r>
              <m:r>
                <w:rPr>
                  <w:rFonts w:ascii="Cambria Math" w:eastAsia="SimSun" w:hAnsi="Cambria Math"/>
                  <w:color w:val="auto"/>
                  <w:sz w:val="22"/>
                  <w:szCs w:val="22"/>
                </w:rPr>
                <m:t>GDP</m:t>
              </m:r>
            </m:den>
          </m:f>
        </m:oMath>
      </m:oMathPara>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An AOI greater than 1 reflects a higher orientation towards the agriculture sector, which receives a higher share of government spending relative to its contribution to economic value-added.  An AOI less than 1 reflects a lower orientation to agriculture, while an AOI equal to 1 reflects neutrality in a government’s orientation to the agriculture sector.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Agriculture refers to the agriculture, forestry, fishing and hunting sector</w:t>
      </w:r>
      <w:proofErr w:type="gramStart"/>
      <w:r w:rsidRPr="003A011A">
        <w:rPr>
          <w:rFonts w:ascii="Calibri" w:eastAsia="SimSun" w:hAnsi="Calibri"/>
          <w:color w:val="auto"/>
          <w:sz w:val="22"/>
          <w:szCs w:val="22"/>
        </w:rPr>
        <w:t>,  based</w:t>
      </w:r>
      <w:proofErr w:type="gramEnd"/>
      <w:r w:rsidRPr="003A011A">
        <w:rPr>
          <w:rFonts w:ascii="Calibri" w:eastAsia="SimSun" w:hAnsi="Calibri"/>
          <w:color w:val="auto"/>
          <w:sz w:val="22"/>
          <w:szCs w:val="22"/>
        </w:rPr>
        <w:t xml:space="preserve"> on the Classification of the Functions of Government (COFOG) developed by the OECD and published by the United Nations Statistics Division (UNSD), found at </w:t>
      </w:r>
      <w:hyperlink r:id="rId28" w:history="1">
        <w:r w:rsidRPr="003A011A">
          <w:rPr>
            <w:rFonts w:ascii="Calibri" w:eastAsia="SimSun" w:hAnsi="Calibri"/>
            <w:color w:val="auto"/>
            <w:sz w:val="22"/>
            <w:szCs w:val="22"/>
            <w:u w:val="single"/>
          </w:rPr>
          <w:t>http://unstats.un.org/unsd/cr/registry/regcst.asp?Cl=4&amp;Top=1&amp;Lg=1</w:t>
        </w:r>
      </w:hyperlink>
      <w:r w:rsidRPr="003A011A">
        <w:rPr>
          <w:rFonts w:ascii="Calibri" w:eastAsia="SimSun" w:hAnsi="Calibri"/>
          <w:color w:val="auto"/>
          <w:sz w:val="22"/>
          <w:szCs w:val="22"/>
        </w:rPr>
        <w:t>.</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Government expenditures are all outlays or expenses associated with supporting a particular sector or purse, including compensation of employees, and subsidies and grants paid as transfers to individuals or corporations in that sector.  For a full description, see the Government Finance Statistics Manual (GFSM) 2001, developed by the International Monetary Fund (IMF), found at </w:t>
      </w:r>
      <w:hyperlink r:id="rId29" w:history="1">
        <w:r w:rsidRPr="003A011A">
          <w:rPr>
            <w:rFonts w:ascii="Calibri" w:eastAsia="SimSun" w:hAnsi="Calibri"/>
            <w:color w:val="auto"/>
            <w:sz w:val="22"/>
            <w:szCs w:val="22"/>
            <w:u w:val="single"/>
          </w:rPr>
          <w:t>http://www.imf.org/external/pubs/ft/gfs/manual/</w:t>
        </w:r>
      </w:hyperlink>
      <w:r w:rsidRPr="003A011A">
        <w:rPr>
          <w:rFonts w:ascii="Calibri" w:eastAsia="SimSun" w:hAnsi="Calibri"/>
          <w:color w:val="auto"/>
          <w:sz w:val="22"/>
          <w:szCs w:val="22"/>
        </w:rPr>
        <w:t xml:space="preserve">.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The Agriculture Share of GDP is measured by the ratio of Agriculture Value Added over GDP, based on official data reported by countries to the United Nations Statistics Division or to the OECD.</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The annual data and </w:t>
      </w:r>
      <w:proofErr w:type="gramStart"/>
      <w:r w:rsidRPr="003A011A">
        <w:rPr>
          <w:rFonts w:ascii="Calibri" w:eastAsia="SimSun" w:hAnsi="Calibri"/>
          <w:color w:val="auto"/>
          <w:sz w:val="22"/>
          <w:szCs w:val="22"/>
        </w:rPr>
        <w:t>indicator,</w:t>
      </w:r>
      <w:proofErr w:type="gramEnd"/>
      <w:r w:rsidRPr="003A011A">
        <w:rPr>
          <w:rFonts w:ascii="Calibri" w:eastAsia="SimSun" w:hAnsi="Calibri"/>
          <w:color w:val="auto"/>
          <w:sz w:val="22"/>
          <w:szCs w:val="22"/>
        </w:rPr>
        <w:t xml:space="preserve"> collected and compiled by the Food and Agriculture Organization of the UN (FAO), can be found on the FAOSTAT domain at:  </w:t>
      </w:r>
      <w:hyperlink r:id="rId30" w:history="1">
        <w:r w:rsidRPr="003A011A">
          <w:rPr>
            <w:rFonts w:ascii="Calibri" w:eastAsia="SimSun" w:hAnsi="Calibri"/>
            <w:color w:val="auto"/>
            <w:sz w:val="22"/>
            <w:szCs w:val="22"/>
            <w:u w:val="single"/>
          </w:rPr>
          <w:t>http://faostat3.fao.org/download/I/IG/E</w:t>
        </w:r>
      </w:hyperlink>
      <w:r w:rsidRPr="003A011A">
        <w:rPr>
          <w:rFonts w:ascii="Calibri" w:eastAsia="SimSun" w:hAnsi="Calibri"/>
          <w:color w:val="auto"/>
          <w:sz w:val="22"/>
          <w:szCs w:val="22"/>
        </w:rPr>
        <w:t>, covering the periods 2001-2012.</w:t>
      </w:r>
    </w:p>
    <w:p w:rsidR="003A011A" w:rsidRPr="003A011A" w:rsidRDefault="003A011A" w:rsidP="003A011A">
      <w:pPr>
        <w:keepNext/>
        <w:numPr>
          <w:ilvl w:val="0"/>
          <w:numId w:val="7"/>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lastRenderedPageBreak/>
        <w:t>How is the indicator linked to the specific TARGET as worded in the OWG Report?</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Government spending in Agriculture includes spending on sector policies and programs; soil improvement and soil degradation control; irrigation and reservoirs for agricultural use; animal health management, livestock research and training in animal husbandry; marine/freshwater biological research; afforestation and other forestry projects; etc.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Spending in these agricultural activities helps to increase sector efficiency, productivity and income growth by increasing physical or human capital and /or reducing inter-temporal budget constraints.  However, the private sector typically under-invests in these activities due to the presence of market failure (e.g. the public good nature of research and development; the positive externalities from improved soil and water conditions; lack of access to competitive credit due to asymmetric information between producers and financial institutions, etc.).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Government spending in agriculture is essential to address these market failures.  This leads to several potential indicators for the SDGs, which include:  a) the level of Government Expenditures in Agriculture (GEA); b) the Agriculture share of Government Expenditures, and c) the AOI for Government Expenditures.</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An indicator that measures GEA levels fails to take into account the size of an economy.  If two countries, A and B, have the same level of GEA, and the same agriculture contribution to GDP, but country A’s economy is 10 times that of country B.  Setting the same target levels for GEA fails to take economic size into account.</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An indicator that measures the Agriculture share of Government Expenditures fails to take into the relative contributions of the agricultural sector to a country’s GDP.  Consider two countries with the same economic size, C and D, where agriculture contributes 2% to C’s GDP, and 10% to country D’s GDP.  If total Government Expenditures were equal in both countries, C would experience greater relative investment in Agriculture than D. If total Government Expenditures differed, the result could be magnified or diluted.</w:t>
      </w:r>
    </w:p>
    <w:p w:rsidR="003A011A" w:rsidRPr="003A011A" w:rsidRDefault="003A011A" w:rsidP="003A011A">
      <w:pPr>
        <w:spacing w:after="200" w:line="276" w:lineRule="auto"/>
        <w:ind w:right="-285"/>
        <w:jc w:val="both"/>
        <w:rPr>
          <w:rFonts w:ascii="Calibri" w:eastAsia="Times New Roman" w:hAnsi="Calibri"/>
          <w:b/>
          <w:bCs/>
          <w:color w:val="auto"/>
          <w:sz w:val="22"/>
          <w:szCs w:val="22"/>
        </w:rPr>
      </w:pPr>
      <w:r w:rsidRPr="003A011A">
        <w:rPr>
          <w:rFonts w:ascii="Calibri" w:eastAsia="SimSun" w:hAnsi="Calibri"/>
          <w:color w:val="auto"/>
          <w:sz w:val="22"/>
          <w:szCs w:val="22"/>
        </w:rPr>
        <w:t xml:space="preserve">The AOI index takes into account a country’s economic size, Agriculture’s contribution to GDP, and the total amount of Government Expenditures.  As such, it allows for the setting of a universal and achievable target.  </w:t>
      </w:r>
    </w:p>
    <w:p w:rsidR="003A011A" w:rsidRPr="003A011A" w:rsidRDefault="003A011A" w:rsidP="003A011A">
      <w:pPr>
        <w:keepNext/>
        <w:numPr>
          <w:ilvl w:val="0"/>
          <w:numId w:val="7"/>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Does the indicator already exist and is it regularly reported?</w:t>
      </w:r>
    </w:p>
    <w:p w:rsidR="003A011A" w:rsidRPr="003A011A" w:rsidRDefault="003A011A" w:rsidP="003A011A">
      <w:pPr>
        <w:spacing w:after="200" w:line="276" w:lineRule="auto"/>
        <w:ind w:right="-285"/>
        <w:jc w:val="both"/>
        <w:rPr>
          <w:rFonts w:ascii="Calibri" w:eastAsia="SimSun" w:hAnsi="Calibri"/>
          <w:b/>
          <w:bCs/>
          <w:color w:val="auto"/>
          <w:sz w:val="22"/>
          <w:szCs w:val="22"/>
        </w:rPr>
      </w:pPr>
      <w:r w:rsidRPr="003A011A">
        <w:rPr>
          <w:rFonts w:ascii="Calibri" w:eastAsia="SimSun" w:hAnsi="Calibri"/>
          <w:color w:val="auto"/>
          <w:sz w:val="22"/>
          <w:szCs w:val="22"/>
        </w:rPr>
        <w:t xml:space="preserve">The indicator is maintained and reported by FAO in FAOSTAT, with metadata soon to be available at </w:t>
      </w:r>
      <w:hyperlink r:id="rId31" w:history="1">
        <w:r w:rsidRPr="003A011A">
          <w:rPr>
            <w:rFonts w:ascii="Calibri" w:eastAsia="SimSun" w:hAnsi="Calibri"/>
            <w:bCs/>
            <w:color w:val="auto"/>
            <w:sz w:val="22"/>
            <w:szCs w:val="22"/>
            <w:u w:val="single"/>
          </w:rPr>
          <w:t>http://faostat3.fao.org/mes/methodology_list/E</w:t>
        </w:r>
      </w:hyperlink>
      <w:r w:rsidRPr="003A011A">
        <w:rPr>
          <w:rFonts w:ascii="Calibri" w:eastAsia="SimSun" w:hAnsi="Calibri"/>
          <w:bCs/>
          <w:color w:val="auto"/>
          <w:sz w:val="22"/>
          <w:szCs w:val="22"/>
        </w:rPr>
        <w:t>.</w:t>
      </w:r>
      <w:r w:rsidRPr="003A011A">
        <w:rPr>
          <w:rFonts w:ascii="Calibri" w:eastAsia="SimSun" w:hAnsi="Calibri"/>
          <w:b/>
          <w:bCs/>
          <w:color w:val="auto"/>
          <w:sz w:val="22"/>
          <w:szCs w:val="22"/>
        </w:rPr>
        <w:t xml:space="preserve">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The underlying annual data is official country data, from 2001 to 2012, reported by countries through a questionnaire jointly developed by FAO and the IMF using the COFOG and GFSM classifications.  The database currently covers 139 countries.</w:t>
      </w:r>
    </w:p>
    <w:p w:rsidR="003A011A" w:rsidRPr="003A011A" w:rsidRDefault="003A011A" w:rsidP="003A011A">
      <w:pPr>
        <w:keepNext/>
        <w:numPr>
          <w:ilvl w:val="0"/>
          <w:numId w:val="7"/>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Comment on the reliability, potential coverage, comparability across countries, and the possibility to compute the indicator at sub-national level.</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The use of the COFOG and GFSM classifications promotes international and inter-temporal comparisons.  The expenditure data reported is typically based on administrative data based on a </w:t>
      </w:r>
      <w:r w:rsidRPr="003A011A">
        <w:rPr>
          <w:rFonts w:ascii="Calibri" w:eastAsia="SimSun" w:hAnsi="Calibri"/>
          <w:color w:val="auto"/>
          <w:sz w:val="22"/>
          <w:szCs w:val="22"/>
        </w:rPr>
        <w:lastRenderedPageBreak/>
        <w:t xml:space="preserve">government’s public accounts, while GDP and Agriculture Value Added </w:t>
      </w:r>
      <w:proofErr w:type="gramStart"/>
      <w:r w:rsidRPr="003A011A">
        <w:rPr>
          <w:rFonts w:ascii="Calibri" w:eastAsia="SimSun" w:hAnsi="Calibri"/>
          <w:color w:val="auto"/>
          <w:sz w:val="22"/>
          <w:szCs w:val="22"/>
        </w:rPr>
        <w:t>is</w:t>
      </w:r>
      <w:proofErr w:type="gramEnd"/>
      <w:r w:rsidRPr="003A011A">
        <w:rPr>
          <w:rFonts w:ascii="Calibri" w:eastAsia="SimSun" w:hAnsi="Calibri"/>
          <w:color w:val="auto"/>
          <w:sz w:val="22"/>
          <w:szCs w:val="22"/>
        </w:rPr>
        <w:t xml:space="preserve"> based on its National Accounts. The nature of the data typically prohibits indicators at sub-national level, as most countries do no compile sub-national GDP estimates, nor sub-national Government Expenditure figures.</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 xml:space="preserve">Reliability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The numerator (Agriculture Share of Government Expenditures) is based on administrative data, which has no statistical margin of error.  The denominator (Agriculture share of GDP) is based on a System of National Accounts, following international guidelines, in which either Agriculture Value-Added or GDP estimates can suffer from statistical errors, though it is difficult to measure.  Errors and lack of reliability due to from non-statistical errors </w:t>
      </w:r>
      <w:proofErr w:type="gramStart"/>
      <w:r w:rsidRPr="003A011A">
        <w:rPr>
          <w:rFonts w:ascii="Calibri" w:eastAsia="SimSun" w:hAnsi="Calibri"/>
          <w:color w:val="auto"/>
          <w:sz w:val="22"/>
          <w:szCs w:val="22"/>
        </w:rPr>
        <w:t>can  arise</w:t>
      </w:r>
      <w:proofErr w:type="gramEnd"/>
      <w:r w:rsidRPr="003A011A">
        <w:rPr>
          <w:rFonts w:ascii="Calibri" w:eastAsia="SimSun" w:hAnsi="Calibri"/>
          <w:color w:val="auto"/>
          <w:sz w:val="22"/>
          <w:szCs w:val="22"/>
        </w:rPr>
        <w:t>, for example, as a result of the mapping between national concepts to international classifications (by respondents), the use of different measures of government across countries due to reporting issues (budgetary central, central, and general, as described above).</w:t>
      </w:r>
    </w:p>
    <w:p w:rsidR="003A011A" w:rsidRPr="003A011A" w:rsidRDefault="003A011A" w:rsidP="003A011A">
      <w:pPr>
        <w:keepNext/>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Coverage</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It is relatively high for these particular indicators, with 139 countries included.  However, some countries have not provided data for all 13 years from 2001 to 2012, and the level of government to which expenditures pertain can differ.  </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 xml:space="preserve">Comparability across countries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It is facilitated by use of the Agriculture share of Government Expenditures in the numerator , which mitigates difference that arise when some countries report expenditures for all levels of government, and others only for the central government.  This does not rule out the fact that state and local governments may spend a different share on Agriculture than the central government.  For this reason, analysis of the trends in this indicator may be more reliable, for comparison purposes, than just the indicator alone.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While COFOG and GFSM facilitate international comparisons, not all countries report expenditures covering all three levels of government (Central, State and Municipal).  The three levels of reporting include (from smallest to largest):  1) Budgetary Central Government; 2) Central Government, which includes Budgetary Central Government as well as extra-budgetary units ; and 3)  General Government, which includes Central, State and Local Government.  Countries that fully report General Government Expenditures may not report Central Government Expenditures.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Since not all countries collect or share data on all three levels of reporting, the level with the most complete time series is used is used for each country.  To the extent that the Agriculture share of Government Expenditures differs across levels of government (Central, State and Local), differences in this indicator may reflect differences in reporting.    </w:t>
      </w:r>
    </w:p>
    <w:p w:rsidR="003A011A" w:rsidRPr="003A011A" w:rsidRDefault="003A011A" w:rsidP="003A011A">
      <w:pPr>
        <w:spacing w:after="200" w:line="276" w:lineRule="auto"/>
        <w:ind w:right="-285"/>
        <w:jc w:val="both"/>
        <w:rPr>
          <w:rFonts w:ascii="Calibri" w:eastAsia="SimSun" w:hAnsi="Calibri"/>
          <w:color w:val="auto"/>
          <w:sz w:val="22"/>
          <w:szCs w:val="22"/>
          <w:u w:val="single"/>
        </w:rPr>
      </w:pPr>
      <w:r w:rsidRPr="003A011A">
        <w:rPr>
          <w:rFonts w:ascii="Calibri" w:eastAsia="SimSun" w:hAnsi="Calibri"/>
          <w:color w:val="auto"/>
          <w:sz w:val="22"/>
          <w:szCs w:val="22"/>
          <w:u w:val="single"/>
        </w:rPr>
        <w:t>Sub-national estimates</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They are not possible to compute sub-national or population group estimates, given the nature of the underlying data.</w:t>
      </w:r>
    </w:p>
    <w:p w:rsidR="003A011A" w:rsidRPr="003A011A" w:rsidRDefault="003A011A" w:rsidP="003A011A">
      <w:pPr>
        <w:keepNext/>
        <w:numPr>
          <w:ilvl w:val="0"/>
          <w:numId w:val="7"/>
        </w:numPr>
        <w:suppressAutoHyphens/>
        <w:spacing w:after="200" w:line="276" w:lineRule="auto"/>
        <w:ind w:right="-285"/>
        <w:jc w:val="both"/>
        <w:outlineLvl w:val="2"/>
        <w:rPr>
          <w:rFonts w:ascii="Calibri" w:eastAsia="SimSun" w:hAnsi="Calibri"/>
          <w:b/>
          <w:color w:val="auto"/>
          <w:sz w:val="22"/>
          <w:szCs w:val="22"/>
        </w:rPr>
      </w:pPr>
      <w:r w:rsidRPr="003A011A">
        <w:rPr>
          <w:rFonts w:ascii="Calibri" w:eastAsia="SimSun" w:hAnsi="Calibri"/>
          <w:b/>
          <w:color w:val="auto"/>
          <w:sz w:val="22"/>
          <w:szCs w:val="22"/>
        </w:rPr>
        <w:t xml:space="preserve">   Is there already a baseline value for 2015?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t xml:space="preserve">There is no baseline value for this indicator for 2015.  </w:t>
      </w:r>
    </w:p>
    <w:p w:rsidR="003A011A" w:rsidRPr="003A011A" w:rsidRDefault="003A011A" w:rsidP="003A011A">
      <w:pPr>
        <w:spacing w:after="200" w:line="276" w:lineRule="auto"/>
        <w:ind w:right="-285"/>
        <w:jc w:val="both"/>
        <w:rPr>
          <w:rFonts w:ascii="Calibri" w:eastAsia="SimSun" w:hAnsi="Calibri"/>
          <w:color w:val="auto"/>
          <w:sz w:val="22"/>
          <w:szCs w:val="22"/>
        </w:rPr>
      </w:pPr>
      <w:r w:rsidRPr="003A011A">
        <w:rPr>
          <w:rFonts w:ascii="Calibri" w:eastAsia="SimSun" w:hAnsi="Calibri"/>
          <w:color w:val="auto"/>
          <w:sz w:val="22"/>
          <w:szCs w:val="22"/>
        </w:rPr>
        <w:lastRenderedPageBreak/>
        <w:t xml:space="preserve">There is some precedent for using government expenditures as a target indicator for Agriculture.  Signatories to the Maputo Declaration set a target of 10% for the Agriculture and Rural Development </w:t>
      </w:r>
      <w:r w:rsidRPr="003A011A">
        <w:rPr>
          <w:rFonts w:ascii="Calibri" w:eastAsia="SimSun" w:hAnsi="Calibri"/>
          <w:i/>
          <w:color w:val="auto"/>
          <w:sz w:val="22"/>
          <w:szCs w:val="22"/>
        </w:rPr>
        <w:t>Share of Government Expenditures</w:t>
      </w:r>
      <w:r w:rsidRPr="003A011A">
        <w:rPr>
          <w:rFonts w:ascii="Calibri" w:eastAsia="SimSun" w:hAnsi="Calibri"/>
          <w:color w:val="auto"/>
          <w:sz w:val="22"/>
          <w:szCs w:val="22"/>
        </w:rPr>
        <w:t>.  However, as Rural Development is not a purpose listed under the COFOG classification, there has been considerable difficulty in consistently measuring this indicator.  Furthermore, in setting a universal target, this Share indicator suffers from the problems listed above (comparison of economies of different size, with different levels of government expenditures, and with different agricultural shares of GDP).</w:t>
      </w:r>
    </w:p>
    <w:p w:rsidR="003A011A" w:rsidRPr="003A011A" w:rsidRDefault="003A011A" w:rsidP="003A011A">
      <w:pPr>
        <w:spacing w:after="200" w:line="276" w:lineRule="auto"/>
        <w:ind w:right="-285"/>
        <w:rPr>
          <w:rFonts w:ascii="Calibri" w:eastAsia="SimSun" w:hAnsi="Calibri"/>
          <w:color w:val="auto"/>
          <w:sz w:val="22"/>
          <w:szCs w:val="22"/>
        </w:rPr>
      </w:pPr>
    </w:p>
    <w:p w:rsidR="003A011A" w:rsidRPr="003A011A" w:rsidRDefault="003A011A" w:rsidP="003A011A">
      <w:pPr>
        <w:spacing w:after="200" w:line="276" w:lineRule="auto"/>
        <w:ind w:right="-285"/>
        <w:jc w:val="center"/>
        <w:rPr>
          <w:rFonts w:ascii="Calibri" w:eastAsia="SimSun" w:hAnsi="Calibri"/>
          <w:color w:val="auto"/>
          <w:sz w:val="22"/>
          <w:szCs w:val="22"/>
        </w:rPr>
      </w:pPr>
    </w:p>
    <w:p w:rsidR="003A011A" w:rsidRPr="003A011A" w:rsidRDefault="003A011A" w:rsidP="003A011A">
      <w:pPr>
        <w:spacing w:after="200" w:line="276" w:lineRule="auto"/>
        <w:ind w:right="-285"/>
        <w:rPr>
          <w:rFonts w:ascii="Calibri" w:eastAsia="SimSun" w:hAnsi="Calibri"/>
          <w:color w:val="auto"/>
          <w:sz w:val="22"/>
          <w:szCs w:val="22"/>
        </w:rPr>
      </w:pPr>
    </w:p>
    <w:bookmarkStart w:id="65" w:name="_Target_2b"/>
    <w:bookmarkStart w:id="66" w:name="_Target_2.c_"/>
    <w:bookmarkStart w:id="67" w:name="_Toc410645245"/>
    <w:bookmarkStart w:id="68" w:name="_Toc410657845"/>
    <w:bookmarkStart w:id="69" w:name="_Toc410890069"/>
    <w:bookmarkStart w:id="70" w:name="Target2_c"/>
    <w:bookmarkStart w:id="71" w:name="_Toc410912485"/>
    <w:bookmarkEnd w:id="65"/>
    <w:bookmarkEnd w:id="66"/>
    <w:p w:rsidR="003A011A" w:rsidRPr="003A011A" w:rsidRDefault="003A011A" w:rsidP="003A011A">
      <w:pPr>
        <w:pageBreakBefore/>
        <w:shd w:val="clear" w:color="auto" w:fill="002060"/>
        <w:spacing w:after="200" w:line="276" w:lineRule="auto"/>
        <w:ind w:right="-285"/>
        <w:jc w:val="center"/>
        <w:outlineLvl w:val="0"/>
        <w:rPr>
          <w:rFonts w:ascii="Calibri" w:eastAsia="SimSun" w:hAnsi="Calibri"/>
          <w:b/>
          <w:color w:val="FFFFFF"/>
        </w:rPr>
      </w:pPr>
      <w:r w:rsidRPr="003A011A">
        <w:rPr>
          <w:rFonts w:ascii="Calibri" w:eastAsia="SimSun" w:hAnsi="Calibri"/>
          <w:b/>
          <w:color w:val="FFFFFF"/>
          <w:shd w:val="clear" w:color="auto" w:fill="BFBFBF"/>
        </w:rPr>
        <w:lastRenderedPageBreak/>
        <w:fldChar w:fldCharType="begin"/>
      </w:r>
      <w:r w:rsidRPr="003A011A">
        <w:rPr>
          <w:rFonts w:ascii="Calibri" w:eastAsia="SimSun" w:hAnsi="Calibri"/>
          <w:color w:val="FFFFFF"/>
          <w:shd w:val="clear" w:color="auto" w:fill="BFBFBF"/>
        </w:rPr>
        <w:instrText xml:space="preserve"> HYPERLINK  \l "List_of_indicators" </w:instrText>
      </w:r>
      <w:r w:rsidRPr="003A011A">
        <w:rPr>
          <w:rFonts w:ascii="Calibri" w:eastAsia="SimSun" w:hAnsi="Calibri"/>
          <w:b/>
          <w:color w:val="FFFFFF"/>
          <w:shd w:val="clear" w:color="auto" w:fill="BFBFBF"/>
        </w:rPr>
        <w:fldChar w:fldCharType="separate"/>
      </w:r>
      <w:r w:rsidRPr="003A011A">
        <w:rPr>
          <w:rFonts w:ascii="Calibri" w:eastAsia="SimSun" w:hAnsi="Calibri"/>
          <w:b/>
          <w:color w:val="FFFFFF"/>
          <w:u w:val="single"/>
        </w:rPr>
        <w:t>Target 2.c</w:t>
      </w:r>
      <w:bookmarkEnd w:id="67"/>
      <w:bookmarkEnd w:id="68"/>
      <w:bookmarkEnd w:id="69"/>
      <w:r w:rsidRPr="003A011A">
        <w:rPr>
          <w:rFonts w:ascii="Calibri" w:eastAsia="SimSun" w:hAnsi="Calibri"/>
          <w:b/>
          <w:color w:val="FFFFFF"/>
          <w:shd w:val="clear" w:color="auto" w:fill="BFBFBF"/>
        </w:rPr>
        <w:fldChar w:fldCharType="end"/>
      </w:r>
      <w:bookmarkEnd w:id="70"/>
      <w:r w:rsidRPr="003A011A">
        <w:rPr>
          <w:rFonts w:ascii="Calibri" w:eastAsia="SimSun" w:hAnsi="Calibri"/>
          <w:b/>
          <w:color w:val="FFFFFF"/>
        </w:rPr>
        <w:t xml:space="preserve"> </w:t>
      </w:r>
      <w:r w:rsidRPr="003A011A">
        <w:rPr>
          <w:rFonts w:ascii="Calibri" w:eastAsia="SimSun" w:hAnsi="Calibri"/>
          <w:b/>
          <w:color w:val="FFFFFF"/>
        </w:rPr>
        <w:br/>
        <w:t>“Adopt measures to ensure the proper functioning of food commodity markets and their derivatives and facilitate timely access to market information, including on food reserves, in order to help limit extreme food price volatility”</w:t>
      </w:r>
      <w:bookmarkEnd w:id="71"/>
    </w:p>
    <w:p w:rsidR="003A011A" w:rsidRPr="003A011A" w:rsidRDefault="003A011A" w:rsidP="003A011A">
      <w:pPr>
        <w:spacing w:after="200" w:line="276" w:lineRule="auto"/>
        <w:ind w:right="-285"/>
        <w:jc w:val="center"/>
        <w:rPr>
          <w:rFonts w:eastAsia="SimSun" w:cs="Calibri"/>
          <w:color w:val="00000A"/>
          <w:szCs w:val="22"/>
        </w:rPr>
      </w:pPr>
    </w:p>
    <w:bookmarkStart w:id="72" w:name="Indicator_2_c_1"/>
    <w:p w:rsidR="003A011A" w:rsidRPr="003A011A" w:rsidRDefault="003A011A" w:rsidP="003A011A">
      <w:pPr>
        <w:shd w:val="clear" w:color="auto" w:fill="99FF99"/>
        <w:spacing w:after="200" w:line="276" w:lineRule="auto"/>
        <w:ind w:right="-285"/>
        <w:jc w:val="center"/>
        <w:rPr>
          <w:rFonts w:ascii="Calibri" w:eastAsia="SimSun" w:hAnsi="Calibri"/>
          <w:color w:val="auto"/>
        </w:rPr>
      </w:pPr>
      <w:r w:rsidRPr="003A011A">
        <w:rPr>
          <w:rFonts w:eastAsia="SimSun" w:cs="Calibri"/>
          <w:color w:val="auto"/>
          <w:szCs w:val="22"/>
        </w:rPr>
        <w:fldChar w:fldCharType="begin"/>
      </w:r>
      <w:r w:rsidRPr="003A011A">
        <w:rPr>
          <w:rFonts w:eastAsia="SimSun" w:cs="Calibri"/>
          <w:color w:val="auto"/>
          <w:szCs w:val="22"/>
        </w:rPr>
        <w:instrText>HYPERLINK \l "List_of_indicators"</w:instrText>
      </w:r>
      <w:r w:rsidRPr="003A011A">
        <w:rPr>
          <w:rFonts w:eastAsia="SimSun" w:cs="Calibri"/>
          <w:color w:val="auto"/>
          <w:szCs w:val="22"/>
        </w:rPr>
        <w:fldChar w:fldCharType="separate"/>
      </w:r>
      <w:r w:rsidRPr="003A011A">
        <w:rPr>
          <w:rFonts w:ascii="Calibri" w:eastAsia="SimSun" w:hAnsi="Calibri"/>
          <w:b/>
          <w:color w:val="auto"/>
        </w:rPr>
        <w:t>Indicator 2.c.1</w:t>
      </w:r>
      <w:r w:rsidRPr="003A011A">
        <w:rPr>
          <w:rFonts w:eastAsia="SimSun" w:cs="Calibri"/>
          <w:color w:val="auto"/>
          <w:szCs w:val="22"/>
        </w:rPr>
        <w:fldChar w:fldCharType="end"/>
      </w:r>
      <w:bookmarkEnd w:id="72"/>
      <w:r w:rsidRPr="003A011A">
        <w:rPr>
          <w:rFonts w:ascii="Calibri" w:eastAsia="SimSun" w:hAnsi="Calibri"/>
          <w:b/>
          <w:color w:val="auto"/>
        </w:rPr>
        <w:br/>
      </w:r>
      <w:r w:rsidRPr="003A011A">
        <w:rPr>
          <w:rFonts w:ascii="Calibri" w:eastAsia="SimSun" w:hAnsi="Calibri"/>
          <w:color w:val="auto"/>
        </w:rPr>
        <w:t>“Indicator of Food Price Anomalies” (IPA)</w:t>
      </w:r>
    </w:p>
    <w:p w:rsidR="003A011A" w:rsidRPr="003A011A" w:rsidRDefault="003A011A" w:rsidP="003A011A">
      <w:pPr>
        <w:keepNext/>
        <w:spacing w:after="200" w:line="276" w:lineRule="auto"/>
        <w:ind w:left="720" w:right="-285"/>
        <w:outlineLvl w:val="2"/>
        <w:rPr>
          <w:rFonts w:ascii="Calibri" w:eastAsia="SimSun" w:hAnsi="Calibri"/>
          <w:b/>
          <w:color w:val="auto"/>
          <w:sz w:val="22"/>
          <w:szCs w:val="22"/>
        </w:rPr>
      </w:pPr>
      <w:bookmarkStart w:id="73" w:name="_Tier_1_Indicator:"/>
      <w:bookmarkEnd w:id="73"/>
    </w:p>
    <w:p w:rsidR="003A011A" w:rsidRPr="003A011A" w:rsidRDefault="003A011A" w:rsidP="003A011A">
      <w:pPr>
        <w:keepNext/>
        <w:numPr>
          <w:ilvl w:val="0"/>
          <w:numId w:val="13"/>
        </w:numPr>
        <w:suppressAutoHyphens/>
        <w:spacing w:after="200" w:line="276" w:lineRule="auto"/>
        <w:ind w:right="-285"/>
        <w:jc w:val="both"/>
        <w:outlineLvl w:val="2"/>
        <w:rPr>
          <w:rFonts w:ascii="Calibri" w:eastAsia="SimSun" w:hAnsi="Calibri"/>
          <w:b/>
          <w:color w:val="auto"/>
          <w:sz w:val="22"/>
          <w:szCs w:val="22"/>
          <w:lang w:val="en-US"/>
        </w:rPr>
      </w:pPr>
      <w:r w:rsidRPr="003A011A">
        <w:rPr>
          <w:rFonts w:ascii="Calibri" w:eastAsia="SimSun" w:hAnsi="Calibri"/>
          <w:b/>
          <w:iCs/>
          <w:color w:val="auto"/>
          <w:sz w:val="22"/>
          <w:szCs w:val="22"/>
          <w:lang w:val="en-US"/>
        </w:rPr>
        <w:t>Precise</w:t>
      </w:r>
      <w:r w:rsidRPr="003A011A">
        <w:rPr>
          <w:rFonts w:ascii="Calibri" w:eastAsia="SimSun" w:hAnsi="Calibri"/>
          <w:b/>
          <w:color w:val="auto"/>
          <w:sz w:val="22"/>
          <w:szCs w:val="22"/>
          <w:lang w:val="en-US"/>
        </w:rPr>
        <w:t xml:space="preserve"> definition of the indicator</w:t>
      </w:r>
    </w:p>
    <w:p w:rsidR="003A011A" w:rsidRPr="003A011A" w:rsidRDefault="003A011A" w:rsidP="003A011A">
      <w:pPr>
        <w:suppressAutoHyphens/>
        <w:spacing w:after="200" w:line="276" w:lineRule="auto"/>
        <w:ind w:right="-285"/>
        <w:jc w:val="both"/>
        <w:rPr>
          <w:rFonts w:ascii="Calibri" w:eastAsia="SimSun" w:hAnsi="Calibri"/>
          <w:color w:val="00000A"/>
          <w:sz w:val="22"/>
          <w:szCs w:val="22"/>
          <w:lang w:eastAsia="en-GB"/>
        </w:rPr>
      </w:pPr>
      <w:r w:rsidRPr="003A011A">
        <w:rPr>
          <w:rFonts w:ascii="Calibri" w:eastAsia="SimSun" w:hAnsi="Calibri"/>
          <w:color w:val="00000A"/>
          <w:sz w:val="22"/>
          <w:szCs w:val="22"/>
          <w:lang w:eastAsia="en-GB"/>
        </w:rPr>
        <w:t xml:space="preserve">Indicators of price anomalies (IPA) identify markets prices that are abnormally high, as it may occur when markets do not function properly. </w:t>
      </w:r>
    </w:p>
    <w:p w:rsidR="003A011A" w:rsidRPr="003A011A" w:rsidRDefault="003A011A" w:rsidP="003A011A">
      <w:pPr>
        <w:suppressAutoHyphens/>
        <w:spacing w:after="200" w:line="276" w:lineRule="auto"/>
        <w:ind w:right="-285"/>
        <w:jc w:val="both"/>
        <w:rPr>
          <w:rFonts w:ascii="Calibri" w:eastAsia="SimSun" w:hAnsi="Calibri"/>
          <w:color w:val="00000A"/>
          <w:sz w:val="22"/>
          <w:szCs w:val="22"/>
          <w:lang w:eastAsia="en-GB"/>
        </w:rPr>
      </w:pPr>
      <w:r w:rsidRPr="003A011A">
        <w:rPr>
          <w:rFonts w:ascii="Calibri" w:eastAsia="SimSun" w:hAnsi="Calibri"/>
          <w:color w:val="00000A"/>
          <w:sz w:val="22"/>
          <w:szCs w:val="22"/>
          <w:lang w:eastAsia="en-GB"/>
        </w:rPr>
        <w:t xml:space="preserve">One version of the IPA relies on a weighted compound growth rate that accounts for both within year and across year price growth.  This indicator directly evaluates growth in prices over a particular month over many years, taking into account seasonality and inflation, allowing answering the question of whether or not an observed change in price is considered normal for any particular period. The algorithm defines as a price anomaly any difference of one standard deviation or greater in the observed growth rate over its historical trend for the same period of time. This allows the indicator to not only quantify the number of price anomalies but also measure their intensity over time. </w:t>
      </w:r>
    </w:p>
    <w:p w:rsidR="003A011A" w:rsidRPr="003A011A" w:rsidRDefault="003A011A" w:rsidP="003A011A">
      <w:pPr>
        <w:keepNext/>
        <w:numPr>
          <w:ilvl w:val="0"/>
          <w:numId w:val="13"/>
        </w:numPr>
        <w:suppressAutoHyphens/>
        <w:spacing w:after="200" w:line="276" w:lineRule="auto"/>
        <w:ind w:right="-285"/>
        <w:jc w:val="both"/>
        <w:outlineLvl w:val="2"/>
        <w:rPr>
          <w:rFonts w:ascii="Calibri" w:eastAsia="SimSun" w:hAnsi="Calibri"/>
          <w:b/>
          <w:color w:val="auto"/>
          <w:sz w:val="22"/>
          <w:szCs w:val="22"/>
          <w:lang w:val="en-US"/>
        </w:rPr>
      </w:pPr>
      <w:r w:rsidRPr="003A011A">
        <w:rPr>
          <w:rFonts w:ascii="Calibri" w:eastAsia="SimSun" w:hAnsi="Calibri"/>
          <w:b/>
          <w:color w:val="auto"/>
          <w:sz w:val="22"/>
          <w:szCs w:val="22"/>
          <w:lang w:val="en-US"/>
        </w:rPr>
        <w:t>How is the indicator linked to the specific TARGET as worded in the OWG report and copied above?</w:t>
      </w:r>
    </w:p>
    <w:p w:rsidR="003A011A" w:rsidRPr="003A011A" w:rsidRDefault="003A011A" w:rsidP="003A011A">
      <w:pPr>
        <w:suppressAutoHyphens/>
        <w:spacing w:after="200" w:line="276" w:lineRule="auto"/>
        <w:ind w:right="-285"/>
        <w:jc w:val="both"/>
        <w:rPr>
          <w:rFonts w:ascii="Calibri" w:eastAsia="SimSun" w:hAnsi="Calibri"/>
          <w:color w:val="00000A"/>
          <w:sz w:val="22"/>
          <w:szCs w:val="22"/>
          <w:lang w:eastAsia="en-GB"/>
        </w:rPr>
      </w:pPr>
      <w:r w:rsidRPr="003A011A">
        <w:rPr>
          <w:rFonts w:ascii="Calibri" w:eastAsia="SimSun" w:hAnsi="Calibri"/>
          <w:color w:val="00000A"/>
          <w:sz w:val="22"/>
          <w:szCs w:val="22"/>
          <w:lang w:eastAsia="en-GB"/>
        </w:rPr>
        <w:t>When applied to series of international commodity prices, such as – for example – those used for example to inform the FAO food price Index,</w:t>
      </w:r>
      <w:r w:rsidRPr="003A011A">
        <w:rPr>
          <w:rFonts w:ascii="Calibri" w:eastAsia="SimSun" w:hAnsi="Calibri"/>
          <w:color w:val="00000A"/>
          <w:sz w:val="22"/>
          <w:szCs w:val="22"/>
          <w:lang w:eastAsia="en-GB"/>
        </w:rPr>
        <w:tab/>
        <w:t xml:space="preserve"> (</w:t>
      </w:r>
      <w:hyperlink r:id="rId32" w:history="1">
        <w:r w:rsidRPr="003A011A">
          <w:rPr>
            <w:rFonts w:ascii="Calibri" w:eastAsia="SimSun" w:hAnsi="Calibri"/>
            <w:color w:val="17BBFD"/>
            <w:sz w:val="22"/>
            <w:szCs w:val="22"/>
            <w:u w:val="single"/>
            <w:lang w:eastAsia="en-GB"/>
          </w:rPr>
          <w:t>http://www.fao.org/worldfoodsituation/foodpricesindex/en/</w:t>
        </w:r>
      </w:hyperlink>
      <w:r w:rsidRPr="003A011A">
        <w:rPr>
          <w:rFonts w:ascii="Calibri" w:eastAsia="SimSun" w:hAnsi="Calibri"/>
          <w:color w:val="00000A"/>
          <w:sz w:val="22"/>
          <w:szCs w:val="22"/>
          <w:lang w:eastAsia="en-GB"/>
        </w:rPr>
        <w:t xml:space="preserve">), IPA allow early detection of abnormal market conditions, as signs that the underlying markets are not working properly, permitting the timely adoption of policies and measures aiming to limit extreme food price volatility. The indicators are able to accomplish this since one can directly measure both the number of events and their intensity pre and post the adoption of policies. </w:t>
      </w:r>
    </w:p>
    <w:p w:rsidR="003A011A" w:rsidRPr="003A011A" w:rsidRDefault="003A011A" w:rsidP="003A011A">
      <w:pPr>
        <w:suppressAutoHyphens/>
        <w:spacing w:after="200" w:line="276" w:lineRule="auto"/>
        <w:ind w:right="-285"/>
        <w:jc w:val="both"/>
        <w:rPr>
          <w:rFonts w:ascii="Calibri" w:eastAsia="SimSun" w:hAnsi="Calibri"/>
          <w:color w:val="00000A"/>
          <w:sz w:val="22"/>
          <w:szCs w:val="22"/>
          <w:lang w:eastAsia="en-GB"/>
        </w:rPr>
      </w:pPr>
      <w:r w:rsidRPr="003A011A">
        <w:rPr>
          <w:rFonts w:ascii="Calibri" w:eastAsia="SimSun" w:hAnsi="Calibri"/>
          <w:color w:val="00000A"/>
          <w:sz w:val="22"/>
          <w:szCs w:val="22"/>
          <w:lang w:eastAsia="en-GB"/>
        </w:rPr>
        <w:t>As such, they are uniquely suited to Target 2.c.</w:t>
      </w:r>
    </w:p>
    <w:p w:rsidR="003A011A" w:rsidRPr="003A011A" w:rsidRDefault="003A011A" w:rsidP="003A011A">
      <w:pPr>
        <w:keepNext/>
        <w:numPr>
          <w:ilvl w:val="0"/>
          <w:numId w:val="3"/>
        </w:numPr>
        <w:suppressAutoHyphens/>
        <w:spacing w:after="200" w:line="276" w:lineRule="auto"/>
        <w:ind w:right="-285"/>
        <w:jc w:val="both"/>
        <w:outlineLvl w:val="2"/>
        <w:rPr>
          <w:rFonts w:ascii="Calibri" w:eastAsia="SimSun" w:hAnsi="Calibri"/>
          <w:b/>
          <w:color w:val="00000A"/>
          <w:sz w:val="22"/>
          <w:szCs w:val="22"/>
        </w:rPr>
      </w:pPr>
      <w:r w:rsidRPr="003A011A">
        <w:rPr>
          <w:rFonts w:ascii="Calibri" w:eastAsia="SimSun" w:hAnsi="Calibri"/>
          <w:b/>
          <w:color w:val="00000A"/>
          <w:sz w:val="22"/>
          <w:szCs w:val="22"/>
        </w:rPr>
        <w:t xml:space="preserve">Does the indicator already exist and is it regularly reported? </w:t>
      </w:r>
    </w:p>
    <w:p w:rsidR="003A011A" w:rsidRPr="003A011A" w:rsidRDefault="003A011A" w:rsidP="003A011A">
      <w:pPr>
        <w:suppressAutoHyphens/>
        <w:spacing w:after="200" w:line="276" w:lineRule="auto"/>
        <w:ind w:right="-285"/>
        <w:jc w:val="both"/>
        <w:rPr>
          <w:rFonts w:ascii="Calibri" w:eastAsia="SimSun" w:hAnsi="Calibri"/>
          <w:color w:val="00000A"/>
          <w:sz w:val="22"/>
          <w:szCs w:val="22"/>
          <w:lang w:eastAsia="en-GB"/>
        </w:rPr>
      </w:pPr>
      <w:r w:rsidRPr="003A011A">
        <w:rPr>
          <w:rFonts w:ascii="Calibri" w:eastAsia="SimSun" w:hAnsi="Calibri"/>
          <w:color w:val="00000A"/>
          <w:sz w:val="22"/>
          <w:szCs w:val="22"/>
          <w:lang w:eastAsia="en-GB"/>
        </w:rPr>
        <w:t xml:space="preserve">One version of the indicator is already implemented by FAO’s Global Information and Early Warning System through its Food Price Monitoring and Analysis (FPMA) </w:t>
      </w:r>
      <w:hyperlink r:id="rId33" w:history="1">
        <w:r w:rsidRPr="003A011A">
          <w:rPr>
            <w:rFonts w:ascii="Calibri" w:eastAsia="SimSun" w:hAnsi="Calibri"/>
            <w:color w:val="00000A"/>
            <w:sz w:val="22"/>
            <w:szCs w:val="22"/>
            <w:lang w:eastAsia="en-GB"/>
          </w:rPr>
          <w:t>website</w:t>
        </w:r>
      </w:hyperlink>
      <w:r w:rsidRPr="003A011A">
        <w:rPr>
          <w:rFonts w:ascii="Calibri" w:eastAsia="SimSun" w:hAnsi="Calibri"/>
          <w:color w:val="00000A"/>
          <w:sz w:val="22"/>
          <w:szCs w:val="22"/>
          <w:lang w:eastAsia="en-GB"/>
        </w:rPr>
        <w:t xml:space="preserve"> at </w:t>
      </w:r>
      <w:hyperlink r:id="rId34" w:history="1">
        <w:r w:rsidRPr="003A011A">
          <w:rPr>
            <w:rFonts w:ascii="Calibri" w:eastAsia="SimSun" w:hAnsi="Calibri"/>
            <w:color w:val="0000FF"/>
            <w:sz w:val="22"/>
            <w:szCs w:val="22"/>
            <w:u w:val="single"/>
            <w:lang w:eastAsia="en-GB"/>
          </w:rPr>
          <w:t>http://www.fao.org/giews/food-prices/indicators/all/en/</w:t>
        </w:r>
      </w:hyperlink>
      <w:r w:rsidRPr="003A011A">
        <w:rPr>
          <w:rFonts w:ascii="Calibri" w:eastAsia="SimSun" w:hAnsi="Calibri"/>
          <w:color w:val="00000A"/>
          <w:sz w:val="22"/>
          <w:szCs w:val="22"/>
          <w:lang w:eastAsia="en-GB"/>
        </w:rPr>
        <w:t>.</w:t>
      </w:r>
    </w:p>
    <w:p w:rsidR="003A011A" w:rsidRPr="003A011A" w:rsidRDefault="003A011A" w:rsidP="003A011A">
      <w:pPr>
        <w:suppressAutoHyphens/>
        <w:spacing w:after="200" w:line="276" w:lineRule="auto"/>
        <w:ind w:right="-285"/>
        <w:jc w:val="both"/>
        <w:rPr>
          <w:rFonts w:ascii="Calibri" w:eastAsia="SimSun" w:hAnsi="Calibri"/>
          <w:color w:val="00000A"/>
          <w:sz w:val="22"/>
          <w:szCs w:val="22"/>
          <w:lang w:eastAsia="en-GB"/>
        </w:rPr>
      </w:pPr>
      <w:r w:rsidRPr="003A011A">
        <w:rPr>
          <w:rFonts w:ascii="Calibri" w:eastAsia="SimSun" w:hAnsi="Calibri"/>
          <w:color w:val="00000A"/>
          <w:sz w:val="22"/>
          <w:szCs w:val="22"/>
          <w:lang w:eastAsia="en-GB"/>
        </w:rPr>
        <w:t xml:space="preserve">Similar versions can be easily applied to existing international commodity price series for which there are monthly figures (such as World Bank’s pinksheets series </w:t>
      </w:r>
      <w:hyperlink r:id="rId35" w:history="1">
        <w:r w:rsidRPr="003A011A">
          <w:rPr>
            <w:rFonts w:ascii="Calibri" w:eastAsia="SimSun" w:hAnsi="Calibri"/>
            <w:color w:val="17BBFD"/>
            <w:sz w:val="22"/>
            <w:szCs w:val="22"/>
            <w:u w:val="single"/>
            <w:lang w:eastAsia="en-GB"/>
          </w:rPr>
          <w:t>http://go.worldbank.org/4ROCCIEQ50</w:t>
        </w:r>
      </w:hyperlink>
      <w:r w:rsidRPr="003A011A">
        <w:rPr>
          <w:rFonts w:ascii="Calibri" w:eastAsia="SimSun" w:hAnsi="Calibri"/>
          <w:color w:val="00000A"/>
          <w:sz w:val="22"/>
          <w:szCs w:val="22"/>
          <w:lang w:eastAsia="en-GB"/>
        </w:rPr>
        <w:t xml:space="preserve"> or IMF’s Primary commodity price series </w:t>
      </w:r>
      <w:hyperlink r:id="rId36" w:history="1">
        <w:r w:rsidRPr="003A011A">
          <w:rPr>
            <w:rFonts w:ascii="Calibri" w:eastAsia="SimSun" w:hAnsi="Calibri"/>
            <w:color w:val="17BBFD"/>
            <w:sz w:val="22"/>
            <w:szCs w:val="22"/>
            <w:u w:val="single"/>
            <w:lang w:eastAsia="en-GB"/>
          </w:rPr>
          <w:t>http://www.imf.org/external/np/res/commod/index.aspx</w:t>
        </w:r>
      </w:hyperlink>
      <w:r w:rsidRPr="003A011A">
        <w:rPr>
          <w:rFonts w:ascii="Calibri" w:eastAsia="SimSun" w:hAnsi="Calibri"/>
          <w:color w:val="00000A"/>
          <w:sz w:val="22"/>
          <w:szCs w:val="22"/>
          <w:lang w:eastAsia="en-GB"/>
        </w:rPr>
        <w:t xml:space="preserve"> )</w:t>
      </w:r>
    </w:p>
    <w:p w:rsidR="003A011A" w:rsidRPr="003A011A" w:rsidRDefault="003A011A" w:rsidP="003A011A">
      <w:pPr>
        <w:keepNext/>
        <w:numPr>
          <w:ilvl w:val="0"/>
          <w:numId w:val="3"/>
        </w:numPr>
        <w:suppressAutoHyphens/>
        <w:spacing w:after="200" w:line="276" w:lineRule="auto"/>
        <w:ind w:right="-285"/>
        <w:jc w:val="both"/>
        <w:outlineLvl w:val="2"/>
        <w:rPr>
          <w:rFonts w:ascii="Calibri" w:eastAsia="SimSun" w:hAnsi="Calibri"/>
          <w:b/>
          <w:color w:val="00000A"/>
          <w:sz w:val="22"/>
          <w:szCs w:val="22"/>
        </w:rPr>
      </w:pPr>
      <w:r w:rsidRPr="003A011A">
        <w:rPr>
          <w:rFonts w:ascii="Calibri" w:eastAsia="SimSun" w:hAnsi="Calibri"/>
          <w:b/>
          <w:color w:val="00000A"/>
          <w:sz w:val="22"/>
          <w:szCs w:val="22"/>
        </w:rPr>
        <w:lastRenderedPageBreak/>
        <w:t>Comment on the reliability, potential coverage, comparability across countries, and the possibility to compute the indicator at sub-national level.</w:t>
      </w:r>
    </w:p>
    <w:p w:rsidR="003A011A" w:rsidRPr="003A011A" w:rsidRDefault="003A011A" w:rsidP="003A011A">
      <w:pPr>
        <w:suppressAutoHyphens/>
        <w:spacing w:after="200" w:line="276" w:lineRule="auto"/>
        <w:ind w:right="-285"/>
        <w:jc w:val="both"/>
        <w:rPr>
          <w:rFonts w:ascii="Calibri" w:eastAsia="SimSun" w:hAnsi="Calibri"/>
          <w:color w:val="00000A"/>
          <w:sz w:val="22"/>
          <w:szCs w:val="22"/>
        </w:rPr>
      </w:pPr>
      <w:r w:rsidRPr="003A011A">
        <w:rPr>
          <w:rFonts w:ascii="Calibri" w:eastAsia="SimSun" w:hAnsi="Calibri"/>
          <w:color w:val="00000A"/>
          <w:sz w:val="22"/>
          <w:szCs w:val="22"/>
          <w:u w:val="single"/>
        </w:rPr>
        <w:t>Reliability</w:t>
      </w:r>
    </w:p>
    <w:p w:rsidR="003A011A" w:rsidRPr="003A011A" w:rsidRDefault="003A011A" w:rsidP="003A011A">
      <w:pPr>
        <w:suppressAutoHyphens/>
        <w:spacing w:after="200" w:line="276" w:lineRule="auto"/>
        <w:ind w:right="-285"/>
        <w:jc w:val="both"/>
        <w:rPr>
          <w:rFonts w:ascii="Calibri" w:eastAsia="SimSun" w:hAnsi="Calibri"/>
          <w:color w:val="00000A"/>
          <w:sz w:val="22"/>
          <w:szCs w:val="22"/>
          <w:lang w:eastAsia="en-GB"/>
        </w:rPr>
      </w:pPr>
      <w:r w:rsidRPr="003A011A">
        <w:rPr>
          <w:rFonts w:ascii="Calibri" w:eastAsia="SimSun" w:hAnsi="Calibri"/>
          <w:color w:val="00000A"/>
          <w:sz w:val="22"/>
          <w:szCs w:val="22"/>
          <w:lang w:eastAsia="en-GB"/>
        </w:rPr>
        <w:t xml:space="preserve">To be reliable, the indicator requires monthly prices series that are at least 4 years in length, so as to estimate with confidence certain subcomponents of the indicator (such as the reference weighted averages and standard deviations). </w:t>
      </w:r>
    </w:p>
    <w:p w:rsidR="003A011A" w:rsidRPr="003A011A" w:rsidRDefault="003A011A" w:rsidP="003A011A">
      <w:pPr>
        <w:suppressAutoHyphens/>
        <w:spacing w:after="200" w:line="276" w:lineRule="auto"/>
        <w:ind w:right="-285"/>
        <w:jc w:val="both"/>
        <w:rPr>
          <w:rFonts w:ascii="Calibri" w:eastAsia="SimSun" w:hAnsi="Calibri"/>
          <w:color w:val="00000A"/>
          <w:sz w:val="22"/>
          <w:szCs w:val="22"/>
          <w:lang w:eastAsia="en-GB"/>
        </w:rPr>
      </w:pPr>
      <w:r w:rsidRPr="003A011A">
        <w:rPr>
          <w:rFonts w:ascii="Calibri" w:eastAsia="SimSun" w:hAnsi="Calibri"/>
          <w:color w:val="00000A"/>
          <w:sz w:val="22"/>
          <w:szCs w:val="22"/>
          <w:lang w:eastAsia="en-GB"/>
        </w:rPr>
        <w:t>This indicator has been compared to other proposed measures of abnormal price growth and has shown to have a lower probability (or lower Type II error) of revealing abnormal price growth when the price movements are indeed normal.</w:t>
      </w:r>
    </w:p>
    <w:p w:rsidR="003A011A" w:rsidRPr="003A011A" w:rsidRDefault="003A011A" w:rsidP="003A011A">
      <w:pPr>
        <w:suppressAutoHyphens/>
        <w:spacing w:after="200" w:line="276" w:lineRule="auto"/>
        <w:ind w:right="-285"/>
        <w:jc w:val="both"/>
        <w:rPr>
          <w:rFonts w:ascii="Calibri" w:eastAsia="SimSun" w:hAnsi="Calibri"/>
          <w:color w:val="00000A"/>
          <w:sz w:val="22"/>
          <w:szCs w:val="22"/>
          <w:u w:val="single"/>
        </w:rPr>
      </w:pPr>
      <w:r w:rsidRPr="003A011A">
        <w:rPr>
          <w:rFonts w:ascii="Calibri" w:eastAsia="SimSun" w:hAnsi="Calibri"/>
          <w:color w:val="00000A"/>
          <w:sz w:val="22"/>
          <w:szCs w:val="22"/>
          <w:u w:val="single"/>
        </w:rPr>
        <w:t>Coverage</w:t>
      </w:r>
    </w:p>
    <w:p w:rsidR="003A011A" w:rsidRPr="003A011A" w:rsidRDefault="003A011A" w:rsidP="003A011A">
      <w:pPr>
        <w:suppressAutoHyphens/>
        <w:spacing w:after="200" w:line="276" w:lineRule="auto"/>
        <w:ind w:right="-285"/>
        <w:jc w:val="both"/>
        <w:rPr>
          <w:rFonts w:ascii="Calibri" w:eastAsia="SimSun" w:hAnsi="Calibri"/>
          <w:color w:val="00000A"/>
          <w:sz w:val="22"/>
          <w:szCs w:val="22"/>
          <w:lang w:eastAsia="en-GB"/>
        </w:rPr>
      </w:pPr>
      <w:r w:rsidRPr="003A011A">
        <w:rPr>
          <w:rFonts w:ascii="Calibri" w:eastAsia="SimSun" w:hAnsi="Calibri"/>
          <w:color w:val="00000A"/>
          <w:sz w:val="22"/>
          <w:szCs w:val="22"/>
          <w:lang w:eastAsia="en-GB"/>
        </w:rPr>
        <w:t xml:space="preserve">As mentioned above, the indicator can easily cover all international commodity markets for which there exist monthly price series. The World Bank database currently include 74 series, with monthly data from January 1960, while the IMF database lists 54 series with monthly prices from 1908, both including all major energy, metal, agricultural and food commodities. </w:t>
      </w:r>
    </w:p>
    <w:p w:rsidR="003A011A" w:rsidRPr="003A011A" w:rsidRDefault="003A011A" w:rsidP="003A011A">
      <w:pPr>
        <w:keepNext/>
        <w:suppressAutoHyphens/>
        <w:spacing w:after="200" w:line="276" w:lineRule="auto"/>
        <w:ind w:right="-285"/>
        <w:jc w:val="both"/>
        <w:rPr>
          <w:rFonts w:ascii="Calibri" w:eastAsia="SimSun" w:hAnsi="Calibri"/>
          <w:color w:val="00000A"/>
          <w:sz w:val="22"/>
          <w:szCs w:val="22"/>
          <w:u w:val="single"/>
        </w:rPr>
      </w:pPr>
      <w:r w:rsidRPr="003A011A">
        <w:rPr>
          <w:rFonts w:ascii="Calibri" w:eastAsia="SimSun" w:hAnsi="Calibri"/>
          <w:color w:val="00000A"/>
          <w:sz w:val="22"/>
          <w:szCs w:val="22"/>
          <w:u w:val="single"/>
        </w:rPr>
        <w:t>Comparability across countries</w:t>
      </w:r>
    </w:p>
    <w:p w:rsidR="003A011A" w:rsidRPr="003A011A" w:rsidRDefault="003A011A" w:rsidP="003A011A">
      <w:pPr>
        <w:suppressAutoHyphens/>
        <w:spacing w:after="200" w:line="276" w:lineRule="auto"/>
        <w:ind w:right="-285"/>
        <w:jc w:val="both"/>
        <w:rPr>
          <w:rFonts w:ascii="Calibri" w:eastAsia="SimSun" w:hAnsi="Calibri"/>
          <w:color w:val="00000A"/>
          <w:sz w:val="22"/>
          <w:szCs w:val="22"/>
          <w:lang w:eastAsia="en-GB"/>
        </w:rPr>
      </w:pPr>
      <w:r w:rsidRPr="003A011A">
        <w:rPr>
          <w:rFonts w:ascii="Calibri" w:eastAsia="SimSun" w:hAnsi="Calibri"/>
          <w:color w:val="00000A"/>
          <w:sz w:val="22"/>
          <w:szCs w:val="22"/>
          <w:lang w:eastAsia="en-GB"/>
        </w:rPr>
        <w:t>The IPA allows comparisons across different markets, from local to international, due to the definition of the threshold to identify abnormal price growth in relative terms, and the fact that the methodology is independent of the country/market being applied to.</w:t>
      </w:r>
    </w:p>
    <w:p w:rsidR="003A011A" w:rsidRPr="003A011A" w:rsidRDefault="003A011A" w:rsidP="003A011A">
      <w:pPr>
        <w:suppressAutoHyphens/>
        <w:spacing w:after="200" w:line="276" w:lineRule="auto"/>
        <w:ind w:right="-285"/>
        <w:jc w:val="both"/>
        <w:rPr>
          <w:rFonts w:ascii="Calibri" w:eastAsia="SimSun" w:hAnsi="Calibri"/>
          <w:color w:val="00000A"/>
          <w:sz w:val="22"/>
          <w:szCs w:val="22"/>
          <w:u w:val="single"/>
        </w:rPr>
      </w:pPr>
      <w:r w:rsidRPr="003A011A">
        <w:rPr>
          <w:rFonts w:ascii="Calibri" w:eastAsia="SimSun" w:hAnsi="Calibri"/>
          <w:color w:val="00000A"/>
          <w:sz w:val="22"/>
          <w:szCs w:val="22"/>
          <w:u w:val="single"/>
        </w:rPr>
        <w:t>Sub-national estimates</w:t>
      </w:r>
    </w:p>
    <w:p w:rsidR="003A011A" w:rsidRPr="003A011A" w:rsidRDefault="003A011A" w:rsidP="003A011A">
      <w:pPr>
        <w:suppressAutoHyphens/>
        <w:spacing w:after="200" w:line="276" w:lineRule="auto"/>
        <w:ind w:right="-285"/>
        <w:jc w:val="both"/>
        <w:rPr>
          <w:rFonts w:ascii="Calibri" w:eastAsia="SimSun" w:hAnsi="Calibri"/>
          <w:color w:val="00000A"/>
          <w:sz w:val="22"/>
          <w:szCs w:val="22"/>
        </w:rPr>
      </w:pPr>
      <w:r w:rsidRPr="003A011A">
        <w:rPr>
          <w:rFonts w:ascii="Calibri" w:eastAsia="SimSun" w:hAnsi="Calibri"/>
          <w:color w:val="00000A"/>
          <w:sz w:val="22"/>
          <w:szCs w:val="22"/>
        </w:rPr>
        <w:t>To the extent that it is applied to local market price series, estimates can be produced at subnational level. For example, sub-national estimates are automatically generated for the countries included in the FAO FPMA price tool that have sub-national data available (i.e., multiple market coverage).</w:t>
      </w:r>
    </w:p>
    <w:p w:rsidR="003A011A" w:rsidRPr="003A011A" w:rsidRDefault="003A011A" w:rsidP="003A011A">
      <w:pPr>
        <w:keepNext/>
        <w:numPr>
          <w:ilvl w:val="0"/>
          <w:numId w:val="3"/>
        </w:numPr>
        <w:suppressAutoHyphens/>
        <w:spacing w:after="200" w:line="276" w:lineRule="auto"/>
        <w:ind w:right="-285"/>
        <w:jc w:val="both"/>
        <w:outlineLvl w:val="2"/>
        <w:rPr>
          <w:rFonts w:ascii="Calibri" w:eastAsia="SimSun" w:hAnsi="Calibri"/>
          <w:b/>
          <w:color w:val="00000A"/>
          <w:sz w:val="22"/>
          <w:szCs w:val="22"/>
        </w:rPr>
      </w:pPr>
      <w:r w:rsidRPr="003A011A">
        <w:rPr>
          <w:rFonts w:ascii="Calibri" w:eastAsia="SimSun" w:hAnsi="Calibri"/>
          <w:b/>
          <w:color w:val="00000A"/>
          <w:sz w:val="22"/>
          <w:szCs w:val="22"/>
        </w:rPr>
        <w:t xml:space="preserve">Can a meaningful numerical target for 2030 be set?  Is there already a baseline value for 2015? </w:t>
      </w:r>
    </w:p>
    <w:p w:rsidR="003A011A" w:rsidRPr="003A011A" w:rsidRDefault="003A011A" w:rsidP="003A011A">
      <w:pPr>
        <w:suppressAutoHyphens/>
        <w:spacing w:after="200" w:line="276" w:lineRule="auto"/>
        <w:ind w:right="-285"/>
        <w:jc w:val="both"/>
        <w:rPr>
          <w:rFonts w:ascii="Calibri" w:eastAsia="SimSun" w:hAnsi="Calibri"/>
          <w:color w:val="00000A"/>
          <w:sz w:val="22"/>
          <w:szCs w:val="22"/>
          <w:lang w:eastAsia="en-GB"/>
        </w:rPr>
      </w:pPr>
      <w:r w:rsidRPr="003A011A">
        <w:rPr>
          <w:rFonts w:ascii="Calibri" w:eastAsia="SimSun" w:hAnsi="Calibri"/>
          <w:color w:val="00000A"/>
          <w:sz w:val="22"/>
          <w:szCs w:val="22"/>
          <w:lang w:eastAsia="en-GB"/>
        </w:rPr>
        <w:t xml:space="preserve">Baseline levels could be set as the number of observed price anomalies over the 48 months of 2010-2014 for each commodity price series for which data exist.   Targets for 2030 could be framed in terms of the percentage reduction that could be expected in the </w:t>
      </w:r>
      <w:r w:rsidRPr="003A011A">
        <w:rPr>
          <w:rFonts w:ascii="Calibri" w:eastAsia="SimSun" w:hAnsi="Calibri"/>
          <w:i/>
          <w:color w:val="00000A"/>
          <w:sz w:val="22"/>
          <w:szCs w:val="22"/>
          <w:u w:val="single"/>
          <w:lang w:eastAsia="en-GB"/>
        </w:rPr>
        <w:t>number</w:t>
      </w:r>
      <w:r w:rsidRPr="003A011A">
        <w:rPr>
          <w:rFonts w:ascii="Calibri" w:eastAsia="SimSun" w:hAnsi="Calibri"/>
          <w:color w:val="00000A"/>
          <w:sz w:val="22"/>
          <w:szCs w:val="22"/>
          <w:lang w:eastAsia="en-GB"/>
        </w:rPr>
        <w:t xml:space="preserve"> of observed price anomalies in the 2026-30 </w:t>
      </w:r>
      <w:proofErr w:type="gramStart"/>
      <w:r w:rsidRPr="003A011A">
        <w:rPr>
          <w:rFonts w:ascii="Calibri" w:eastAsia="SimSun" w:hAnsi="Calibri"/>
          <w:color w:val="00000A"/>
          <w:sz w:val="22"/>
          <w:szCs w:val="22"/>
          <w:lang w:eastAsia="en-GB"/>
        </w:rPr>
        <w:t>period</w:t>
      </w:r>
      <w:proofErr w:type="gramEnd"/>
      <w:r w:rsidRPr="003A011A">
        <w:rPr>
          <w:rFonts w:ascii="Calibri" w:eastAsia="SimSun" w:hAnsi="Calibri"/>
          <w:color w:val="00000A"/>
          <w:sz w:val="22"/>
          <w:szCs w:val="22"/>
          <w:lang w:eastAsia="en-GB"/>
        </w:rPr>
        <w:t>, compared to the baseline.</w:t>
      </w:r>
    </w:p>
    <w:p w:rsidR="003A011A" w:rsidRPr="003A011A" w:rsidRDefault="003A011A" w:rsidP="003A011A">
      <w:pPr>
        <w:spacing w:after="200" w:line="276" w:lineRule="auto"/>
        <w:ind w:right="-285"/>
        <w:jc w:val="both"/>
        <w:rPr>
          <w:rFonts w:ascii="Calibri" w:eastAsia="SimSun" w:hAnsi="Calibri"/>
          <w:color w:val="auto"/>
          <w:sz w:val="22"/>
          <w:szCs w:val="22"/>
          <w:lang w:eastAsia="en-GB"/>
        </w:rPr>
      </w:pPr>
    </w:p>
    <w:p w:rsidR="0035634B" w:rsidRPr="003A011A" w:rsidRDefault="0035634B" w:rsidP="003A011A">
      <w:pPr>
        <w:ind w:right="-285"/>
        <w:rPr>
          <w:rFonts w:ascii="Calibri" w:eastAsia="SimSun" w:hAnsi="Calibri"/>
          <w:color w:val="auto"/>
          <w:sz w:val="22"/>
          <w:szCs w:val="22"/>
          <w:lang w:eastAsia="en-GB"/>
        </w:rPr>
      </w:pPr>
      <w:bookmarkStart w:id="74" w:name="_GoBack"/>
      <w:bookmarkEnd w:id="74"/>
    </w:p>
    <w:sectPr w:rsidR="0035634B" w:rsidRPr="003A011A">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D8F" w:rsidRDefault="004E1D8F" w:rsidP="003A011A">
      <w:r>
        <w:separator/>
      </w:r>
    </w:p>
  </w:endnote>
  <w:endnote w:type="continuationSeparator" w:id="0">
    <w:p w:rsidR="004E1D8F" w:rsidRDefault="004E1D8F" w:rsidP="003A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D8F" w:rsidRDefault="004E1D8F" w:rsidP="003A011A">
      <w:r>
        <w:separator/>
      </w:r>
    </w:p>
  </w:footnote>
  <w:footnote w:type="continuationSeparator" w:id="0">
    <w:p w:rsidR="004E1D8F" w:rsidRDefault="004E1D8F" w:rsidP="003A011A">
      <w:r>
        <w:continuationSeparator/>
      </w:r>
    </w:p>
  </w:footnote>
  <w:footnote w:id="1">
    <w:p w:rsidR="003A011A" w:rsidRPr="00CA1B60" w:rsidRDefault="003A011A" w:rsidP="003A011A">
      <w:pPr>
        <w:pStyle w:val="FootnoteText"/>
        <w:rPr>
          <w:rFonts w:asciiTheme="majorHAnsi" w:hAnsiTheme="majorHAnsi"/>
          <w:sz w:val="18"/>
          <w:szCs w:val="18"/>
        </w:rPr>
      </w:pPr>
      <w:r w:rsidRPr="00CA1B60">
        <w:rPr>
          <w:rStyle w:val="FootnoteReference"/>
          <w:rFonts w:asciiTheme="majorHAnsi" w:hAnsiTheme="majorHAnsi"/>
          <w:sz w:val="18"/>
          <w:szCs w:val="18"/>
        </w:rPr>
        <w:footnoteRef/>
      </w:r>
      <w:r w:rsidRPr="00CA1B60">
        <w:rPr>
          <w:rFonts w:asciiTheme="majorHAnsi" w:hAnsiTheme="majorHAnsi"/>
          <w:sz w:val="18"/>
          <w:szCs w:val="18"/>
        </w:rPr>
        <w:t xml:space="preserve"> Larger samples were formed in India (N=3000) and China (N=5000).</w:t>
      </w:r>
    </w:p>
  </w:footnote>
  <w:footnote w:id="2">
    <w:p w:rsidR="003A011A" w:rsidRPr="0014132C" w:rsidRDefault="003A011A" w:rsidP="003A011A">
      <w:pPr>
        <w:pStyle w:val="FootnoteText"/>
        <w:ind w:right="-285"/>
        <w:jc w:val="both"/>
        <w:rPr>
          <w:rFonts w:asciiTheme="majorHAnsi" w:hAnsiTheme="majorHAnsi"/>
          <w:color w:val="auto"/>
          <w:sz w:val="18"/>
          <w:szCs w:val="18"/>
        </w:rPr>
      </w:pPr>
      <w:r w:rsidRPr="0014132C">
        <w:rPr>
          <w:rStyle w:val="FootnoteReference"/>
          <w:rFonts w:asciiTheme="majorHAnsi" w:hAnsiTheme="majorHAnsi"/>
          <w:color w:val="auto"/>
          <w:sz w:val="18"/>
          <w:szCs w:val="18"/>
        </w:rPr>
        <w:footnoteRef/>
      </w:r>
      <w:r w:rsidRPr="0014132C">
        <w:rPr>
          <w:rFonts w:asciiTheme="majorHAnsi" w:hAnsiTheme="majorHAnsi"/>
          <w:color w:val="auto"/>
          <w:sz w:val="18"/>
          <w:szCs w:val="18"/>
        </w:rPr>
        <w:t xml:space="preserve"> More detailed information on the indicator can be found in: Wanner N., C. Cafiero, N. Troubat, P. Conforti (2014), Refinements to the FAO Methodology for estimating the Prevalence of Undernourishment Indicator, FAO Statistics Division Working Papers Series 14-05, Rome 2014 (available at: </w:t>
      </w:r>
      <w:hyperlink r:id="rId1" w:history="1">
        <w:r w:rsidRPr="0014132C">
          <w:rPr>
            <w:rStyle w:val="Hyperlink1"/>
            <w:rFonts w:asciiTheme="majorHAnsi" w:hAnsiTheme="majorHAnsi"/>
            <w:color w:val="auto"/>
            <w:sz w:val="18"/>
            <w:szCs w:val="18"/>
          </w:rPr>
          <w:t>http://www.fao.org/3/a-i4046e.pdf</w:t>
        </w:r>
      </w:hyperlink>
      <w:r w:rsidRPr="0014132C">
        <w:rPr>
          <w:rFonts w:asciiTheme="majorHAnsi" w:hAnsiTheme="majorHAnsi"/>
          <w:color w:val="auto"/>
          <w:sz w:val="18"/>
          <w:szCs w:val="18"/>
        </w:rPr>
        <w:t xml:space="preserve">)  and in:  Cafiero, C. Advances in hunger measurement. </w:t>
      </w:r>
      <w:proofErr w:type="gramStart"/>
      <w:r w:rsidRPr="0014132C">
        <w:rPr>
          <w:rFonts w:asciiTheme="majorHAnsi" w:hAnsiTheme="majorHAnsi"/>
          <w:color w:val="auto"/>
          <w:sz w:val="18"/>
          <w:szCs w:val="18"/>
        </w:rPr>
        <w:t xml:space="preserve">Traditional FAO methods and recent innovations FAO Statistics Division Working Papers Series 14-04, Rome 2014 (available at </w:t>
      </w:r>
      <w:hyperlink r:id="rId2" w:history="1">
        <w:r w:rsidRPr="0014132C">
          <w:rPr>
            <w:rStyle w:val="Hyperlink1"/>
            <w:rFonts w:asciiTheme="majorHAnsi" w:hAnsiTheme="majorHAnsi"/>
            <w:color w:val="auto"/>
            <w:sz w:val="18"/>
            <w:szCs w:val="18"/>
          </w:rPr>
          <w:t>http://www.fao.org/3/a-i4060e.pdf</w:t>
        </w:r>
      </w:hyperlink>
      <w:r w:rsidRPr="0014132C">
        <w:rPr>
          <w:rFonts w:asciiTheme="majorHAnsi" w:hAnsiTheme="majorHAnsi"/>
          <w:color w:val="auto"/>
          <w:sz w:val="18"/>
          <w:szCs w:val="18"/>
        </w:rPr>
        <w:t>).</w:t>
      </w:r>
      <w:proofErr w:type="gramEnd"/>
    </w:p>
  </w:footnote>
  <w:footnote w:id="3">
    <w:p w:rsidR="003A011A" w:rsidRPr="0014132C" w:rsidRDefault="003A011A" w:rsidP="003A011A">
      <w:pPr>
        <w:pStyle w:val="FootnoteText"/>
        <w:ind w:right="-285"/>
        <w:jc w:val="both"/>
        <w:rPr>
          <w:rFonts w:asciiTheme="majorHAnsi" w:hAnsiTheme="majorHAnsi"/>
          <w:color w:val="auto"/>
          <w:sz w:val="18"/>
          <w:szCs w:val="18"/>
        </w:rPr>
      </w:pPr>
      <w:r w:rsidRPr="0014132C">
        <w:rPr>
          <w:rStyle w:val="FootnoteReference"/>
          <w:rFonts w:asciiTheme="majorHAnsi" w:hAnsiTheme="majorHAnsi"/>
          <w:color w:val="auto"/>
          <w:sz w:val="18"/>
          <w:szCs w:val="18"/>
        </w:rPr>
        <w:footnoteRef/>
      </w:r>
      <w:r w:rsidRPr="0014132C">
        <w:rPr>
          <w:rFonts w:asciiTheme="majorHAnsi" w:hAnsiTheme="majorHAnsi"/>
          <w:color w:val="auto"/>
          <w:sz w:val="18"/>
          <w:szCs w:val="18"/>
        </w:rPr>
        <w:t xml:space="preserve"> </w:t>
      </w:r>
      <w:hyperlink r:id="rId3" w:history="1">
        <w:r w:rsidRPr="0014132C">
          <w:rPr>
            <w:rStyle w:val="Hyperlink1"/>
            <w:rFonts w:asciiTheme="majorHAnsi" w:hAnsiTheme="majorHAnsi"/>
            <w:color w:val="auto"/>
            <w:sz w:val="18"/>
            <w:szCs w:val="18"/>
          </w:rPr>
          <w:t>http://www.fantaproject.org/sites/default/files/resources/Introduce-MDD-W-indicator-brief-Sep2014.pdf</w:t>
        </w:r>
      </w:hyperlink>
      <w:r w:rsidRPr="0014132C">
        <w:rPr>
          <w:rFonts w:asciiTheme="majorHAnsi" w:hAnsiTheme="majorHAnsi"/>
          <w:color w:val="auto"/>
          <w:sz w:val="18"/>
          <w:szCs w:val="18"/>
        </w:rPr>
        <w:t xml:space="preserve"> </w:t>
      </w:r>
    </w:p>
  </w:footnote>
  <w:footnote w:id="4">
    <w:p w:rsidR="003A011A" w:rsidRPr="0014132C" w:rsidRDefault="003A011A" w:rsidP="003A011A">
      <w:pPr>
        <w:pStyle w:val="FootnoteText"/>
        <w:ind w:right="-285"/>
        <w:jc w:val="both"/>
        <w:rPr>
          <w:rFonts w:asciiTheme="majorHAnsi" w:hAnsiTheme="majorHAnsi"/>
          <w:color w:val="auto"/>
          <w:sz w:val="18"/>
          <w:szCs w:val="18"/>
        </w:rPr>
      </w:pPr>
      <w:r w:rsidRPr="0014132C">
        <w:rPr>
          <w:rStyle w:val="FootnoteReference"/>
          <w:rFonts w:asciiTheme="majorHAnsi" w:hAnsiTheme="majorHAnsi"/>
          <w:color w:val="auto"/>
          <w:sz w:val="18"/>
          <w:szCs w:val="18"/>
        </w:rPr>
        <w:footnoteRef/>
      </w:r>
      <w:r w:rsidRPr="0014132C">
        <w:rPr>
          <w:rFonts w:asciiTheme="majorHAnsi" w:hAnsiTheme="majorHAnsi"/>
          <w:color w:val="auto"/>
          <w:sz w:val="18"/>
          <w:szCs w:val="18"/>
        </w:rPr>
        <w:t xml:space="preserve"> This is the main conclusion of the Women’s Dietary Diversity Project I and II (WDDP). The technical report of WDDP-II is about to be published by FAO. All available information can be found at: </w:t>
      </w:r>
    </w:p>
    <w:p w:rsidR="003A011A" w:rsidRPr="0014132C" w:rsidRDefault="003A011A" w:rsidP="003A011A">
      <w:pPr>
        <w:pStyle w:val="FootnoteText"/>
        <w:ind w:right="-285"/>
        <w:jc w:val="both"/>
        <w:rPr>
          <w:rFonts w:asciiTheme="majorHAnsi" w:hAnsiTheme="majorHAnsi"/>
          <w:color w:val="auto"/>
          <w:sz w:val="18"/>
          <w:szCs w:val="18"/>
        </w:rPr>
      </w:pPr>
      <w:hyperlink r:id="rId4" w:history="1">
        <w:r w:rsidRPr="0014132C">
          <w:rPr>
            <w:rStyle w:val="Hyperlink1"/>
            <w:rFonts w:asciiTheme="majorHAnsi" w:hAnsiTheme="majorHAnsi"/>
            <w:color w:val="auto"/>
            <w:sz w:val="18"/>
            <w:szCs w:val="18"/>
          </w:rPr>
          <w:t>http://www.fantaproject.org/research/womens-dietary-diversity-project</w:t>
        </w:r>
      </w:hyperlink>
      <w:r w:rsidRPr="0014132C">
        <w:rPr>
          <w:rFonts w:asciiTheme="majorHAnsi" w:hAnsiTheme="majorHAnsi"/>
          <w:color w:val="auto"/>
          <w:sz w:val="18"/>
          <w:szCs w:val="18"/>
        </w:rPr>
        <w:t xml:space="preserve"> </w:t>
      </w:r>
    </w:p>
  </w:footnote>
  <w:footnote w:id="5">
    <w:p w:rsidR="003A011A" w:rsidRPr="00CA1B60" w:rsidRDefault="003A011A" w:rsidP="003A011A">
      <w:pPr>
        <w:pStyle w:val="FootnoteText"/>
        <w:ind w:right="-285"/>
        <w:jc w:val="both"/>
        <w:rPr>
          <w:rFonts w:asciiTheme="majorHAnsi" w:hAnsiTheme="majorHAnsi"/>
          <w:sz w:val="18"/>
          <w:szCs w:val="18"/>
        </w:rPr>
      </w:pPr>
      <w:r w:rsidRPr="0014132C">
        <w:rPr>
          <w:rFonts w:asciiTheme="majorHAnsi" w:hAnsiTheme="majorHAnsi"/>
          <w:color w:val="auto"/>
          <w:sz w:val="18"/>
          <w:szCs w:val="18"/>
          <w:vertAlign w:val="superscript"/>
          <w:lang w:eastAsia="en-GB"/>
        </w:rPr>
        <w:footnoteRef/>
      </w:r>
      <w:r w:rsidRPr="0014132C">
        <w:rPr>
          <w:rFonts w:asciiTheme="majorHAnsi" w:hAnsiTheme="majorHAnsi"/>
          <w:color w:val="auto"/>
          <w:sz w:val="18"/>
          <w:szCs w:val="18"/>
          <w:lang w:val="it-IT" w:eastAsia="en-GB"/>
        </w:rPr>
        <w:t xml:space="preserve"> </w:t>
      </w:r>
      <w:r w:rsidRPr="0014132C">
        <w:rPr>
          <w:rFonts w:asciiTheme="majorHAnsi" w:hAnsiTheme="majorHAnsi"/>
          <w:color w:val="auto"/>
          <w:sz w:val="18"/>
          <w:szCs w:val="18"/>
          <w:lang w:val="it-IT" w:eastAsia="en-GB"/>
        </w:rPr>
        <w:t>L</w:t>
      </w:r>
      <w:r w:rsidRPr="0014132C">
        <w:rPr>
          <w:rFonts w:asciiTheme="majorHAnsi" w:hAnsiTheme="majorHAnsi"/>
          <w:color w:val="auto"/>
          <w:sz w:val="18"/>
          <w:szCs w:val="18"/>
          <w:lang w:val="it-IT"/>
        </w:rPr>
        <w:t xml:space="preserve">ee SE, Talegawkar SA, Merialdi M, Caulfield LE. </w:t>
      </w:r>
      <w:proofErr w:type="gramStart"/>
      <w:r w:rsidRPr="0014132C">
        <w:rPr>
          <w:rFonts w:asciiTheme="majorHAnsi" w:hAnsiTheme="majorHAnsi"/>
          <w:color w:val="auto"/>
          <w:sz w:val="18"/>
          <w:szCs w:val="18"/>
        </w:rPr>
        <w:t>Dietary intakes of women during pregnancy in low- and middle-income countries.</w:t>
      </w:r>
      <w:proofErr w:type="gramEnd"/>
      <w:r w:rsidRPr="0014132C">
        <w:rPr>
          <w:rFonts w:asciiTheme="majorHAnsi" w:hAnsiTheme="majorHAnsi"/>
          <w:color w:val="auto"/>
          <w:sz w:val="18"/>
          <w:szCs w:val="18"/>
        </w:rPr>
        <w:t xml:space="preserve"> </w:t>
      </w:r>
      <w:proofErr w:type="gramStart"/>
      <w:r w:rsidRPr="0014132C">
        <w:rPr>
          <w:rFonts w:asciiTheme="majorHAnsi" w:hAnsiTheme="majorHAnsi"/>
          <w:color w:val="auto"/>
          <w:sz w:val="18"/>
          <w:szCs w:val="18"/>
        </w:rPr>
        <w:t>Public</w:t>
      </w:r>
      <w:r w:rsidRPr="00CA1B60">
        <w:rPr>
          <w:rFonts w:asciiTheme="majorHAnsi" w:hAnsiTheme="majorHAnsi"/>
          <w:sz w:val="18"/>
          <w:szCs w:val="18"/>
        </w:rPr>
        <w:t xml:space="preserve"> Health Nutr.</w:t>
      </w:r>
      <w:proofErr w:type="gramEnd"/>
      <w:r w:rsidRPr="00CA1B60">
        <w:rPr>
          <w:rFonts w:asciiTheme="majorHAnsi" w:hAnsiTheme="majorHAnsi"/>
          <w:sz w:val="18"/>
          <w:szCs w:val="18"/>
        </w:rPr>
        <w:t xml:space="preserve"> 2013 Aug</w:t>
      </w:r>
      <w:proofErr w:type="gramStart"/>
      <w:r w:rsidRPr="00CA1B60">
        <w:rPr>
          <w:rFonts w:asciiTheme="majorHAnsi" w:hAnsiTheme="majorHAnsi"/>
          <w:sz w:val="18"/>
          <w:szCs w:val="18"/>
        </w:rPr>
        <w:t>;16</w:t>
      </w:r>
      <w:proofErr w:type="gramEnd"/>
      <w:r w:rsidRPr="00CA1B60">
        <w:rPr>
          <w:rFonts w:asciiTheme="majorHAnsi" w:hAnsiTheme="majorHAnsi"/>
          <w:sz w:val="18"/>
          <w:szCs w:val="18"/>
        </w:rPr>
        <w:t xml:space="preserve">(8):1340-53. </w:t>
      </w:r>
      <w:proofErr w:type="gramStart"/>
      <w:r w:rsidRPr="00CA1B60">
        <w:rPr>
          <w:rFonts w:asciiTheme="majorHAnsi" w:hAnsiTheme="majorHAnsi"/>
          <w:sz w:val="18"/>
          <w:szCs w:val="18"/>
        </w:rPr>
        <w:t>doi</w:t>
      </w:r>
      <w:proofErr w:type="gramEnd"/>
      <w:r w:rsidRPr="00CA1B60">
        <w:rPr>
          <w:rFonts w:asciiTheme="majorHAnsi" w:hAnsiTheme="majorHAnsi"/>
          <w:sz w:val="18"/>
          <w:szCs w:val="18"/>
        </w:rPr>
        <w:t>: 10.1017/S1368980012004417. Epub 2012 Oct 9.</w:t>
      </w:r>
    </w:p>
    <w:p w:rsidR="003A011A" w:rsidRPr="00CA1B60" w:rsidRDefault="003A011A" w:rsidP="003A011A">
      <w:pPr>
        <w:pStyle w:val="FootnoteText"/>
        <w:ind w:right="-285"/>
        <w:jc w:val="both"/>
        <w:rPr>
          <w:rFonts w:asciiTheme="majorHAnsi" w:hAnsiTheme="majorHAnsi"/>
          <w:sz w:val="18"/>
          <w:szCs w:val="18"/>
        </w:rPr>
      </w:pPr>
      <w:r w:rsidRPr="00CA1B60">
        <w:rPr>
          <w:rFonts w:asciiTheme="majorHAnsi" w:hAnsiTheme="majorHAnsi"/>
          <w:sz w:val="18"/>
          <w:szCs w:val="18"/>
        </w:rPr>
        <w:t xml:space="preserve">Torheim </w:t>
      </w:r>
      <w:proofErr w:type="gramStart"/>
      <w:r w:rsidRPr="00CA1B60">
        <w:rPr>
          <w:rFonts w:asciiTheme="majorHAnsi" w:hAnsiTheme="majorHAnsi"/>
          <w:sz w:val="18"/>
          <w:szCs w:val="18"/>
        </w:rPr>
        <w:t>LE(</w:t>
      </w:r>
      <w:proofErr w:type="gramEnd"/>
      <w:r w:rsidRPr="00CA1B60">
        <w:rPr>
          <w:rFonts w:asciiTheme="majorHAnsi" w:hAnsiTheme="majorHAnsi"/>
          <w:sz w:val="18"/>
          <w:szCs w:val="18"/>
        </w:rPr>
        <w:t xml:space="preserve">1), Ferguson EL, Penrose K, Arimond M. Women in resource-poor settings are at risk of inadequate intakes of multiple micronutrients. </w:t>
      </w:r>
      <w:proofErr w:type="gramStart"/>
      <w:r w:rsidRPr="00CA1B60">
        <w:rPr>
          <w:rFonts w:asciiTheme="majorHAnsi" w:hAnsiTheme="majorHAnsi"/>
          <w:sz w:val="18"/>
          <w:szCs w:val="18"/>
        </w:rPr>
        <w:t>J Nutr.</w:t>
      </w:r>
      <w:proofErr w:type="gramEnd"/>
      <w:r w:rsidRPr="00CA1B60">
        <w:rPr>
          <w:rFonts w:asciiTheme="majorHAnsi" w:hAnsiTheme="majorHAnsi"/>
          <w:sz w:val="18"/>
          <w:szCs w:val="18"/>
        </w:rPr>
        <w:t xml:space="preserve"> 2010 Nov</w:t>
      </w:r>
      <w:proofErr w:type="gramStart"/>
      <w:r w:rsidRPr="00CA1B60">
        <w:rPr>
          <w:rFonts w:asciiTheme="majorHAnsi" w:hAnsiTheme="majorHAnsi"/>
          <w:sz w:val="18"/>
          <w:szCs w:val="18"/>
        </w:rPr>
        <w:t>;140</w:t>
      </w:r>
      <w:proofErr w:type="gramEnd"/>
      <w:r w:rsidRPr="00CA1B60">
        <w:rPr>
          <w:rFonts w:asciiTheme="majorHAnsi" w:hAnsiTheme="majorHAnsi"/>
          <w:sz w:val="18"/>
          <w:szCs w:val="18"/>
        </w:rPr>
        <w:t xml:space="preserve">(11):2051S-8S. </w:t>
      </w:r>
      <w:proofErr w:type="gramStart"/>
      <w:r w:rsidRPr="00CA1B60">
        <w:rPr>
          <w:rFonts w:asciiTheme="majorHAnsi" w:hAnsiTheme="majorHAnsi"/>
          <w:sz w:val="18"/>
          <w:szCs w:val="18"/>
        </w:rPr>
        <w:t>doi</w:t>
      </w:r>
      <w:proofErr w:type="gramEnd"/>
      <w:r w:rsidRPr="00CA1B60">
        <w:rPr>
          <w:rFonts w:asciiTheme="majorHAnsi" w:hAnsiTheme="majorHAnsi"/>
          <w:sz w:val="18"/>
          <w:szCs w:val="18"/>
        </w:rPr>
        <w:t>: 10.3945/jn.110.123463. Epub 2010 Sep 29.</w:t>
      </w:r>
    </w:p>
  </w:footnote>
  <w:footnote w:id="6">
    <w:p w:rsidR="003A011A" w:rsidRPr="00CA1B60" w:rsidRDefault="003A011A" w:rsidP="003A011A">
      <w:pPr>
        <w:pStyle w:val="FootnoteText"/>
        <w:ind w:right="-285"/>
        <w:jc w:val="both"/>
        <w:rPr>
          <w:rFonts w:asciiTheme="majorHAnsi" w:hAnsiTheme="majorHAnsi"/>
          <w:noProof/>
          <w:sz w:val="18"/>
          <w:szCs w:val="18"/>
        </w:rPr>
      </w:pPr>
      <w:r w:rsidRPr="00CA1B60">
        <w:rPr>
          <w:rStyle w:val="FootnoteReference"/>
          <w:rFonts w:asciiTheme="majorHAnsi" w:hAnsiTheme="majorHAnsi"/>
          <w:sz w:val="18"/>
          <w:szCs w:val="18"/>
        </w:rPr>
        <w:footnoteRef/>
      </w:r>
      <w:r w:rsidRPr="00CA1B60">
        <w:rPr>
          <w:rFonts w:asciiTheme="majorHAnsi" w:hAnsiTheme="majorHAnsi"/>
          <w:sz w:val="18"/>
          <w:szCs w:val="18"/>
        </w:rPr>
        <w:t xml:space="preserve"> </w:t>
      </w:r>
      <w:r w:rsidRPr="00CA1B60">
        <w:rPr>
          <w:rFonts w:asciiTheme="majorHAnsi" w:hAnsiTheme="majorHAnsi"/>
          <w:bCs/>
          <w:noProof/>
          <w:sz w:val="18"/>
          <w:szCs w:val="18"/>
        </w:rPr>
        <w:t>Arimond M, Wiesmann D, Becquey E et al.</w:t>
      </w:r>
      <w:r w:rsidRPr="00CA1B60">
        <w:rPr>
          <w:rFonts w:asciiTheme="majorHAnsi" w:hAnsiTheme="majorHAnsi"/>
          <w:noProof/>
          <w:sz w:val="18"/>
          <w:szCs w:val="18"/>
        </w:rPr>
        <w:t xml:space="preserve"> (2010). Simple food group diversity indicators predict micronutrient adequacy of women's diets in 5 diverse, resource-poor settings. Journal of Nutrition.  No.  11 (.Vol. 140): 2059S-69S.</w:t>
      </w:r>
    </w:p>
  </w:footnote>
  <w:footnote w:id="7">
    <w:p w:rsidR="003A011A" w:rsidRPr="00CA1B60" w:rsidRDefault="003A011A" w:rsidP="003A011A">
      <w:pPr>
        <w:jc w:val="both"/>
        <w:rPr>
          <w:rFonts w:asciiTheme="majorHAnsi" w:hAnsiTheme="majorHAnsi"/>
          <w:sz w:val="18"/>
          <w:szCs w:val="18"/>
          <w:lang w:eastAsia="en-GB"/>
        </w:rPr>
      </w:pPr>
      <w:r w:rsidRPr="00CA1B60">
        <w:rPr>
          <w:rStyle w:val="FootnoteReference"/>
          <w:rFonts w:asciiTheme="majorHAnsi" w:hAnsiTheme="majorHAnsi"/>
          <w:sz w:val="18"/>
          <w:szCs w:val="18"/>
        </w:rPr>
        <w:footnoteRef/>
      </w:r>
      <w:r w:rsidRPr="00CA1B60">
        <w:rPr>
          <w:rFonts w:asciiTheme="majorHAnsi" w:hAnsiTheme="majorHAnsi"/>
          <w:sz w:val="18"/>
          <w:szCs w:val="18"/>
        </w:rPr>
        <w:t xml:space="preserve"> </w:t>
      </w:r>
      <w:r w:rsidRPr="00CA1B60">
        <w:rPr>
          <w:rFonts w:asciiTheme="majorHAnsi" w:hAnsiTheme="majorHAnsi"/>
          <w:sz w:val="18"/>
          <w:szCs w:val="18"/>
          <w:lang w:eastAsia="en-GB"/>
        </w:rPr>
        <w:t>Dwyer, JT. (2012) Dietary standards and guidelines: Similarities and differences among countries. Chapter 65 in Present Knowledge in Nutrition, 10th ed., pp. 1110-1134, JW Erdman, IA MacDonald, and SH Zeisel, eds. Wiley-Blackwell.</w:t>
      </w:r>
    </w:p>
  </w:footnote>
  <w:footnote w:id="8">
    <w:p w:rsidR="003A011A" w:rsidRPr="0014132C" w:rsidRDefault="003A011A" w:rsidP="003A011A">
      <w:pPr>
        <w:pStyle w:val="FootnoteText"/>
        <w:jc w:val="both"/>
        <w:rPr>
          <w:rFonts w:asciiTheme="majorHAnsi" w:hAnsiTheme="majorHAnsi"/>
          <w:color w:val="auto"/>
          <w:sz w:val="18"/>
          <w:szCs w:val="18"/>
        </w:rPr>
      </w:pPr>
      <w:r w:rsidRPr="00CA1B60">
        <w:rPr>
          <w:rStyle w:val="FootnoteReference"/>
          <w:rFonts w:asciiTheme="majorHAnsi" w:hAnsiTheme="majorHAnsi"/>
          <w:sz w:val="18"/>
          <w:szCs w:val="18"/>
        </w:rPr>
        <w:footnoteRef/>
      </w:r>
      <w:r w:rsidRPr="00CA1B60">
        <w:rPr>
          <w:rFonts w:asciiTheme="majorHAnsi" w:hAnsiTheme="majorHAnsi"/>
          <w:sz w:val="18"/>
          <w:szCs w:val="18"/>
        </w:rPr>
        <w:t xml:space="preserve"> </w:t>
      </w:r>
      <w:proofErr w:type="gramStart"/>
      <w:r w:rsidRPr="00CA1B60">
        <w:rPr>
          <w:rFonts w:asciiTheme="majorHAnsi" w:hAnsiTheme="majorHAnsi"/>
          <w:sz w:val="18"/>
          <w:szCs w:val="18"/>
          <w:lang w:eastAsia="en-GB"/>
        </w:rPr>
        <w:t>FAO.</w:t>
      </w:r>
      <w:proofErr w:type="gramEnd"/>
      <w:r w:rsidRPr="00CA1B60">
        <w:rPr>
          <w:rFonts w:asciiTheme="majorHAnsi" w:hAnsiTheme="majorHAnsi"/>
          <w:sz w:val="18"/>
          <w:szCs w:val="18"/>
          <w:lang w:eastAsia="en-GB"/>
        </w:rPr>
        <w:t xml:space="preserve"> 2007. </w:t>
      </w:r>
      <w:r w:rsidRPr="00CA1B60">
        <w:rPr>
          <w:rFonts w:asciiTheme="majorHAnsi" w:hAnsiTheme="majorHAnsi"/>
          <w:i/>
          <w:iCs/>
          <w:sz w:val="18"/>
          <w:szCs w:val="18"/>
          <w:lang w:eastAsia="en-GB"/>
        </w:rPr>
        <w:t xml:space="preserve">The State of the World’s Animal Genetic Resources for Food and </w:t>
      </w:r>
      <w:r w:rsidRPr="00CA1B60">
        <w:rPr>
          <w:rFonts w:asciiTheme="majorHAnsi" w:hAnsiTheme="majorHAnsi"/>
          <w:i/>
          <w:iCs/>
          <w:sz w:val="18"/>
          <w:szCs w:val="18"/>
        </w:rPr>
        <w:t>Agriculture</w:t>
      </w:r>
      <w:r w:rsidRPr="00CA1B60">
        <w:rPr>
          <w:rFonts w:asciiTheme="majorHAnsi" w:hAnsiTheme="majorHAnsi"/>
          <w:sz w:val="18"/>
          <w:szCs w:val="18"/>
        </w:rPr>
        <w:t xml:space="preserve">, edited by Barbara Rischkowsky &amp; Dafydd Pilling. Rome. Accessible </w:t>
      </w:r>
      <w:r w:rsidRPr="0014132C">
        <w:rPr>
          <w:rFonts w:asciiTheme="majorHAnsi" w:hAnsiTheme="majorHAnsi"/>
          <w:color w:val="auto"/>
          <w:sz w:val="18"/>
          <w:szCs w:val="18"/>
        </w:rPr>
        <w:t>at</w:t>
      </w:r>
      <w:proofErr w:type="gramStart"/>
      <w:r w:rsidRPr="0014132C">
        <w:rPr>
          <w:rFonts w:asciiTheme="majorHAnsi" w:hAnsiTheme="majorHAnsi"/>
          <w:color w:val="auto"/>
          <w:sz w:val="18"/>
          <w:szCs w:val="18"/>
        </w:rPr>
        <w:t xml:space="preserve">  </w:t>
      </w:r>
      <w:proofErr w:type="gramEnd"/>
      <w:hyperlink r:id="rId5" w:history="1">
        <w:r w:rsidRPr="0014132C">
          <w:rPr>
            <w:rStyle w:val="Hyperlink1"/>
            <w:rFonts w:asciiTheme="majorHAnsi" w:hAnsiTheme="majorHAnsi"/>
            <w:color w:val="auto"/>
            <w:sz w:val="18"/>
            <w:szCs w:val="18"/>
          </w:rPr>
          <w:t>http://www.fao.org/docrep/010/a1250e/a1250e00.htm</w:t>
        </w:r>
      </w:hyperlink>
      <w:r w:rsidRPr="0014132C">
        <w:rPr>
          <w:rStyle w:val="Hyperlink1"/>
          <w:rFonts w:asciiTheme="majorHAnsi" w:hAnsiTheme="majorHAnsi"/>
          <w:color w:val="auto"/>
          <w:sz w:val="18"/>
          <w:szCs w:val="18"/>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25857"/>
    <w:multiLevelType w:val="hybridMultilevel"/>
    <w:tmpl w:val="AAE80E28"/>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0A3746"/>
    <w:multiLevelType w:val="hybridMultilevel"/>
    <w:tmpl w:val="63A66AE2"/>
    <w:lvl w:ilvl="0" w:tplc="6B6EC4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262BD2"/>
    <w:multiLevelType w:val="hybridMultilevel"/>
    <w:tmpl w:val="C19C0810"/>
    <w:lvl w:ilvl="0" w:tplc="B096E15E">
      <w:start w:val="1"/>
      <w:numFmt w:val="decimal"/>
      <w:pStyle w:val="Heading31"/>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57355AF6"/>
    <w:multiLevelType w:val="hybridMultilevel"/>
    <w:tmpl w:val="AF749F40"/>
    <w:lvl w:ilvl="0" w:tplc="C38208B8">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CD7A93"/>
    <w:multiLevelType w:val="hybridMultilevel"/>
    <w:tmpl w:val="EB1664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2"/>
    <w:lvlOverride w:ilvl="0">
      <w:startOverride w:val="1"/>
    </w:lvlOverride>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2"/>
    <w:lvlOverride w:ilvl="0">
      <w:startOverride w:val="1"/>
    </w:lvlOverride>
  </w:num>
  <w:num w:numId="8">
    <w:abstractNumId w:val="3"/>
  </w:num>
  <w:num w:numId="9">
    <w:abstractNumId w:val="4"/>
  </w:num>
  <w:num w:numId="10">
    <w:abstractNumId w:val="2"/>
    <w:lvlOverride w:ilvl="0">
      <w:startOverride w:val="1"/>
    </w:lvlOverride>
  </w:num>
  <w:num w:numId="11">
    <w:abstractNumId w:val="2"/>
    <w:lvlOverride w:ilvl="0">
      <w:startOverride w:val="1"/>
    </w:lvlOverride>
  </w:num>
  <w:num w:numId="12">
    <w:abstractNumId w:val="0"/>
  </w:num>
  <w:num w:numId="1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11A"/>
    <w:rsid w:val="0035634B"/>
    <w:rsid w:val="00374D74"/>
    <w:rsid w:val="003A011A"/>
    <w:rsid w:val="004E1D8F"/>
    <w:rsid w:val="00AC1AA0"/>
    <w:rsid w:val="00F72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FootnoteText">
    <w:name w:val="footnote text"/>
    <w:basedOn w:val="Normal"/>
    <w:link w:val="FootnoteTextChar"/>
    <w:uiPriority w:val="99"/>
    <w:semiHidden/>
    <w:unhideWhenUsed/>
    <w:rsid w:val="003A011A"/>
    <w:rPr>
      <w:sz w:val="20"/>
      <w:szCs w:val="20"/>
    </w:rPr>
  </w:style>
  <w:style w:type="character" w:customStyle="1" w:styleId="FootnoteTextChar">
    <w:name w:val="Footnote Text Char"/>
    <w:basedOn w:val="DefaultParagraphFont"/>
    <w:link w:val="FootnoteText"/>
    <w:uiPriority w:val="99"/>
    <w:semiHidden/>
    <w:rsid w:val="003A011A"/>
    <w:rPr>
      <w:sz w:val="20"/>
      <w:szCs w:val="20"/>
    </w:rPr>
  </w:style>
  <w:style w:type="character" w:styleId="FootnoteReference">
    <w:name w:val="footnote reference"/>
    <w:aliases w:val="ftref,16 Point,Superscript 6 Point,Footnote Reference Number,Ref,de nota al pie,BVI fnr,Superscript 10 Point,Footnote symbol"/>
    <w:basedOn w:val="DefaultParagraphFont"/>
    <w:uiPriority w:val="99"/>
    <w:rsid w:val="003A011A"/>
    <w:rPr>
      <w:vertAlign w:val="superscript"/>
    </w:rPr>
  </w:style>
  <w:style w:type="character" w:customStyle="1" w:styleId="Hyperlink1">
    <w:name w:val="Hyperlink1"/>
    <w:basedOn w:val="DefaultParagraphFont"/>
    <w:uiPriority w:val="99"/>
    <w:unhideWhenUsed/>
    <w:rsid w:val="003A011A"/>
    <w:rPr>
      <w:color w:val="17BBFD"/>
      <w:u w:val="single"/>
    </w:rPr>
  </w:style>
  <w:style w:type="paragraph" w:customStyle="1" w:styleId="Heading31">
    <w:name w:val="Heading 31"/>
    <w:basedOn w:val="ListParagraph"/>
    <w:next w:val="Normal"/>
    <w:uiPriority w:val="9"/>
    <w:unhideWhenUsed/>
    <w:qFormat/>
    <w:rsid w:val="003A011A"/>
    <w:pPr>
      <w:keepNext/>
      <w:numPr>
        <w:numId w:val="1"/>
      </w:numPr>
      <w:spacing w:after="200" w:line="276" w:lineRule="auto"/>
      <w:ind w:left="360"/>
      <w:contextualSpacing w:val="0"/>
      <w:outlineLvl w:val="2"/>
    </w:pPr>
    <w:rPr>
      <w:rFonts w:ascii="Calibri" w:eastAsia="SimSun" w:hAnsi="Calibri"/>
      <w:b/>
      <w:color w:val="auto"/>
      <w:sz w:val="22"/>
      <w:szCs w:val="22"/>
      <w:lang w:val="en-US"/>
    </w:rPr>
  </w:style>
  <w:style w:type="character" w:styleId="Hyperlink">
    <w:name w:val="Hyperlink"/>
    <w:basedOn w:val="DefaultParagraphFont"/>
    <w:uiPriority w:val="99"/>
    <w:semiHidden/>
    <w:unhideWhenUsed/>
    <w:rsid w:val="003A011A"/>
    <w:rPr>
      <w:color w:val="0000FF" w:themeColor="hyperlink"/>
      <w:u w:val="single"/>
    </w:rPr>
  </w:style>
  <w:style w:type="paragraph" w:styleId="BalloonText">
    <w:name w:val="Balloon Text"/>
    <w:basedOn w:val="Normal"/>
    <w:link w:val="BalloonTextChar"/>
    <w:uiPriority w:val="99"/>
    <w:semiHidden/>
    <w:unhideWhenUsed/>
    <w:rsid w:val="003A011A"/>
    <w:rPr>
      <w:rFonts w:ascii="Tahoma" w:hAnsi="Tahoma" w:cs="Tahoma"/>
      <w:sz w:val="16"/>
      <w:szCs w:val="16"/>
    </w:rPr>
  </w:style>
  <w:style w:type="character" w:customStyle="1" w:styleId="BalloonTextChar">
    <w:name w:val="Balloon Text Char"/>
    <w:basedOn w:val="DefaultParagraphFont"/>
    <w:link w:val="BalloonText"/>
    <w:uiPriority w:val="99"/>
    <w:semiHidden/>
    <w:rsid w:val="003A01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FootnoteText">
    <w:name w:val="footnote text"/>
    <w:basedOn w:val="Normal"/>
    <w:link w:val="FootnoteTextChar"/>
    <w:uiPriority w:val="99"/>
    <w:semiHidden/>
    <w:unhideWhenUsed/>
    <w:rsid w:val="003A011A"/>
    <w:rPr>
      <w:sz w:val="20"/>
      <w:szCs w:val="20"/>
    </w:rPr>
  </w:style>
  <w:style w:type="character" w:customStyle="1" w:styleId="FootnoteTextChar">
    <w:name w:val="Footnote Text Char"/>
    <w:basedOn w:val="DefaultParagraphFont"/>
    <w:link w:val="FootnoteText"/>
    <w:uiPriority w:val="99"/>
    <w:semiHidden/>
    <w:rsid w:val="003A011A"/>
    <w:rPr>
      <w:sz w:val="20"/>
      <w:szCs w:val="20"/>
    </w:rPr>
  </w:style>
  <w:style w:type="character" w:styleId="FootnoteReference">
    <w:name w:val="footnote reference"/>
    <w:aliases w:val="ftref,16 Point,Superscript 6 Point,Footnote Reference Number,Ref,de nota al pie,BVI fnr,Superscript 10 Point,Footnote symbol"/>
    <w:basedOn w:val="DefaultParagraphFont"/>
    <w:uiPriority w:val="99"/>
    <w:rsid w:val="003A011A"/>
    <w:rPr>
      <w:vertAlign w:val="superscript"/>
    </w:rPr>
  </w:style>
  <w:style w:type="character" w:customStyle="1" w:styleId="Hyperlink1">
    <w:name w:val="Hyperlink1"/>
    <w:basedOn w:val="DefaultParagraphFont"/>
    <w:uiPriority w:val="99"/>
    <w:unhideWhenUsed/>
    <w:rsid w:val="003A011A"/>
    <w:rPr>
      <w:color w:val="17BBFD"/>
      <w:u w:val="single"/>
    </w:rPr>
  </w:style>
  <w:style w:type="paragraph" w:customStyle="1" w:styleId="Heading31">
    <w:name w:val="Heading 31"/>
    <w:basedOn w:val="ListParagraph"/>
    <w:next w:val="Normal"/>
    <w:uiPriority w:val="9"/>
    <w:unhideWhenUsed/>
    <w:qFormat/>
    <w:rsid w:val="003A011A"/>
    <w:pPr>
      <w:keepNext/>
      <w:numPr>
        <w:numId w:val="1"/>
      </w:numPr>
      <w:spacing w:after="200" w:line="276" w:lineRule="auto"/>
      <w:ind w:left="360"/>
      <w:contextualSpacing w:val="0"/>
      <w:outlineLvl w:val="2"/>
    </w:pPr>
    <w:rPr>
      <w:rFonts w:ascii="Calibri" w:eastAsia="SimSun" w:hAnsi="Calibri"/>
      <w:b/>
      <w:color w:val="auto"/>
      <w:sz w:val="22"/>
      <w:szCs w:val="22"/>
      <w:lang w:val="en-US"/>
    </w:rPr>
  </w:style>
  <w:style w:type="character" w:styleId="Hyperlink">
    <w:name w:val="Hyperlink"/>
    <w:basedOn w:val="DefaultParagraphFont"/>
    <w:uiPriority w:val="99"/>
    <w:semiHidden/>
    <w:unhideWhenUsed/>
    <w:rsid w:val="003A011A"/>
    <w:rPr>
      <w:color w:val="0000FF" w:themeColor="hyperlink"/>
      <w:u w:val="single"/>
    </w:rPr>
  </w:style>
  <w:style w:type="paragraph" w:styleId="BalloonText">
    <w:name w:val="Balloon Text"/>
    <w:basedOn w:val="Normal"/>
    <w:link w:val="BalloonTextChar"/>
    <w:uiPriority w:val="99"/>
    <w:semiHidden/>
    <w:unhideWhenUsed/>
    <w:rsid w:val="003A011A"/>
    <w:rPr>
      <w:rFonts w:ascii="Tahoma" w:hAnsi="Tahoma" w:cs="Tahoma"/>
      <w:sz w:val="16"/>
      <w:szCs w:val="16"/>
    </w:rPr>
  </w:style>
  <w:style w:type="character" w:customStyle="1" w:styleId="BalloonTextChar">
    <w:name w:val="Balloon Text Char"/>
    <w:basedOn w:val="DefaultParagraphFont"/>
    <w:link w:val="BalloonText"/>
    <w:uiPriority w:val="99"/>
    <w:semiHidden/>
    <w:rsid w:val="003A01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o.org/economic/ess/ess-fs/voices/fiesscale/metadata/en/" TargetMode="External"/><Relationship Id="rId13" Type="http://schemas.openxmlformats.org/officeDocument/2006/relationships/hyperlink" Target="http://www.unscn.org/files/Publications/Policy_brief_Priority_Nutrition_Indicators_for_the_Post-2015_SDGs.pdf" TargetMode="External"/><Relationship Id="rId18" Type="http://schemas.openxmlformats.org/officeDocument/2006/relationships/hyperlink" Target="http://dad.fao.org/" TargetMode="External"/><Relationship Id="rId26" Type="http://schemas.openxmlformats.org/officeDocument/2006/relationships/hyperlink" Target="http://dad.fao.org/" TargetMode="External"/><Relationship Id="rId3" Type="http://schemas.microsoft.com/office/2007/relationships/stylesWithEffects" Target="stylesWithEffects.xml"/><Relationship Id="rId21" Type="http://schemas.openxmlformats.org/officeDocument/2006/relationships/hyperlink" Target="http://www.fao.org/docrep/010/a1404e/a1404e00.htm" TargetMode="External"/><Relationship Id="rId34" Type="http://schemas.openxmlformats.org/officeDocument/2006/relationships/hyperlink" Target="http://www.fao.org/giews/food-prices/indicators/all/en/" TargetMode="External"/><Relationship Id="rId7" Type="http://schemas.openxmlformats.org/officeDocument/2006/relationships/endnotes" Target="endnotes.xml"/><Relationship Id="rId12" Type="http://schemas.openxmlformats.org/officeDocument/2006/relationships/hyperlink" Target="http://faostat3.fao.org/download/D/*/E" TargetMode="External"/><Relationship Id="rId17" Type="http://schemas.openxmlformats.org/officeDocument/2006/relationships/hyperlink" Target="mailto:wiew@fao.org" TargetMode="External"/><Relationship Id="rId25" Type="http://schemas.openxmlformats.org/officeDocument/2006/relationships/hyperlink" Target="http://www.fao.org/3/a-mm278e.pdf" TargetMode="External"/><Relationship Id="rId33" Type="http://schemas.openxmlformats.org/officeDocument/2006/relationships/hyperlink" Target="http://www.fao.org/giews/food-prices/home/en/"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pgrfa.org/WIEWS/" TargetMode="External"/><Relationship Id="rId20" Type="http://schemas.openxmlformats.org/officeDocument/2006/relationships/hyperlink" Target="http://www.fao.org/docrep/meeting/028/mg538e.pdf" TargetMode="External"/><Relationship Id="rId29" Type="http://schemas.openxmlformats.org/officeDocument/2006/relationships/hyperlink" Target="http://www.imf.org/external/pubs/ft/gfs/manua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fao.org/economic/ess/ess-fs/ess-fadata/it/" TargetMode="External"/><Relationship Id="rId24" Type="http://schemas.openxmlformats.org/officeDocument/2006/relationships/hyperlink" Target="http://www.cbd.int/gbo/gbo4/publication/gbo4-en-lr.pdf" TargetMode="External"/><Relationship Id="rId32" Type="http://schemas.openxmlformats.org/officeDocument/2006/relationships/hyperlink" Target="http://www.fao.org/worldfoodsituation/foodpricesindex/en/"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fao.org/3/a-mm181e.pdf" TargetMode="External"/><Relationship Id="rId23" Type="http://schemas.openxmlformats.org/officeDocument/2006/relationships/hyperlink" Target="http://www.bipindicators.net/domesticatedanimals" TargetMode="External"/><Relationship Id="rId28" Type="http://schemas.openxmlformats.org/officeDocument/2006/relationships/hyperlink" Target="http://unstats.un.org/unsd/cr/registry/regcst.asp?Cl=4&amp;Top=1&amp;Lg=1" TargetMode="External"/><Relationship Id="rId36" Type="http://schemas.openxmlformats.org/officeDocument/2006/relationships/hyperlink" Target="http://www.imf.org/external/np/res/commod/index.aspx" TargetMode="External"/><Relationship Id="rId10" Type="http://schemas.openxmlformats.org/officeDocument/2006/relationships/hyperlink" Target="http://faostat3.fao.org/download/D/*/E" TargetMode="External"/><Relationship Id="rId19" Type="http://schemas.openxmlformats.org/officeDocument/2006/relationships/hyperlink" Target="http://www.fao.org/docrep/meeting/026/me514e.pdf" TargetMode="External"/><Relationship Id="rId31" Type="http://schemas.openxmlformats.org/officeDocument/2006/relationships/hyperlink" Target="http://faostat3.fao.org/mes/methodology_list/E" TargetMode="External"/><Relationship Id="rId4" Type="http://schemas.openxmlformats.org/officeDocument/2006/relationships/settings" Target="settings.xml"/><Relationship Id="rId9" Type="http://schemas.openxmlformats.org/officeDocument/2006/relationships/hyperlink" Target="http://www.fao.org/economic/ess/ess-fs/ess-fadata/it/" TargetMode="External"/><Relationship Id="rId14" Type="http://schemas.openxmlformats.org/officeDocument/2006/relationships/hyperlink" Target="http://www.bipindicators.net/cropcollections" TargetMode="External"/><Relationship Id="rId22" Type="http://schemas.openxmlformats.org/officeDocument/2006/relationships/hyperlink" Target="http://www.fao.org/3/a-mm278e.pdf" TargetMode="External"/><Relationship Id="rId27" Type="http://schemas.openxmlformats.org/officeDocument/2006/relationships/hyperlink" Target="http://www.cbd.int/gbo/gbo4/publication/gbo4-en-lr.pdf" TargetMode="External"/><Relationship Id="rId30" Type="http://schemas.openxmlformats.org/officeDocument/2006/relationships/hyperlink" Target="http://faostat3.fao.org/download/I/IG/E" TargetMode="External"/><Relationship Id="rId35" Type="http://schemas.openxmlformats.org/officeDocument/2006/relationships/hyperlink" Target="http://go.worldbank.org/4ROCCIEQ50"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fantaproject.org/sites/default/files/resources/Introduce-MDD-W-indicator-brief-Sep2014.pdf" TargetMode="External"/><Relationship Id="rId2" Type="http://schemas.openxmlformats.org/officeDocument/2006/relationships/hyperlink" Target="http://www.fao.org/3/a-i4060e.pdf" TargetMode="External"/><Relationship Id="rId1" Type="http://schemas.openxmlformats.org/officeDocument/2006/relationships/hyperlink" Target="http://www.fao.org/3/a-i4046e.pdf" TargetMode="External"/><Relationship Id="rId5" Type="http://schemas.openxmlformats.org/officeDocument/2006/relationships/hyperlink" Target="http://www.fao.org/docrep/010/a1250e/a1250e00.htm" TargetMode="External"/><Relationship Id="rId4" Type="http://schemas.openxmlformats.org/officeDocument/2006/relationships/hyperlink" Target="http://www.fantaproject.org/research/womens-dietary-diversity-proje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9864</Words>
  <Characters>56226</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65959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2015-09-22T13:29:00Z</dcterms:created>
  <dcterms:modified xsi:type="dcterms:W3CDTF">2015-09-22T13:29:00Z</dcterms:modified>
</cp:coreProperties>
</file>